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A7B91" w14:textId="09CE9ADE" w:rsidR="000B57E8" w:rsidRDefault="001029C6">
      <w:pPr>
        <w:rPr>
          <w:b/>
          <w:bCs/>
          <w:lang w:val="es-419"/>
        </w:rPr>
      </w:pPr>
      <w:r w:rsidRPr="001029C6">
        <w:rPr>
          <w:b/>
          <w:bCs/>
          <w:lang w:val="es-419"/>
        </w:rPr>
        <w:t>Transport experiment</w:t>
      </w:r>
    </w:p>
    <w:p w14:paraId="6A7F97BC" w14:textId="77777777" w:rsidR="001029C6" w:rsidRDefault="001029C6">
      <w:pPr>
        <w:rPr>
          <w:b/>
          <w:bCs/>
          <w:lang w:val="es-419"/>
        </w:rPr>
      </w:pPr>
    </w:p>
    <w:p w14:paraId="7A8C7AF5" w14:textId="77777777" w:rsidR="006134AA" w:rsidRDefault="001029C6" w:rsidP="00833427">
      <w:pPr>
        <w:keepNext/>
        <w:jc w:val="center"/>
      </w:pPr>
      <w:r>
        <w:rPr>
          <w:b/>
          <w:bCs/>
          <w:noProof/>
          <w:lang w:val="es-419"/>
        </w:rPr>
        <w:drawing>
          <wp:inline distT="0" distB="0" distL="0" distR="0" wp14:anchorId="5708320A" wp14:editId="5C2674CC">
            <wp:extent cx="5162673" cy="3771900"/>
            <wp:effectExtent l="0" t="0" r="0" b="0"/>
            <wp:docPr id="423726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17" cy="378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D4CFC" w14:textId="215B34E0" w:rsidR="001029C6" w:rsidRPr="00833427" w:rsidRDefault="006134AA" w:rsidP="006134AA">
      <w:pPr>
        <w:pStyle w:val="Caption"/>
        <w:rPr>
          <w:b/>
          <w:bCs/>
          <w:i w:val="0"/>
          <w:iCs w:val="0"/>
          <w:sz w:val="20"/>
          <w:szCs w:val="20"/>
        </w:rPr>
      </w:pPr>
      <w:r w:rsidRPr="00833427">
        <w:rPr>
          <w:b/>
          <w:bCs/>
          <w:i w:val="0"/>
          <w:iCs w:val="0"/>
          <w:sz w:val="20"/>
          <w:szCs w:val="20"/>
        </w:rPr>
        <w:t xml:space="preserve">Figure </w:t>
      </w:r>
      <w:r w:rsidRPr="00833427">
        <w:rPr>
          <w:b/>
          <w:bCs/>
          <w:i w:val="0"/>
          <w:iCs w:val="0"/>
          <w:sz w:val="20"/>
          <w:szCs w:val="20"/>
        </w:rPr>
        <w:fldChar w:fldCharType="begin"/>
      </w:r>
      <w:r w:rsidRPr="00833427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833427">
        <w:rPr>
          <w:b/>
          <w:bCs/>
          <w:i w:val="0"/>
          <w:iCs w:val="0"/>
          <w:sz w:val="20"/>
          <w:szCs w:val="20"/>
        </w:rPr>
        <w:fldChar w:fldCharType="separate"/>
      </w:r>
      <w:r w:rsidR="00A5258A">
        <w:rPr>
          <w:b/>
          <w:bCs/>
          <w:i w:val="0"/>
          <w:iCs w:val="0"/>
          <w:noProof/>
          <w:sz w:val="20"/>
          <w:szCs w:val="20"/>
        </w:rPr>
        <w:t>1</w:t>
      </w:r>
      <w:r w:rsidRPr="00833427">
        <w:rPr>
          <w:b/>
          <w:bCs/>
          <w:i w:val="0"/>
          <w:iCs w:val="0"/>
          <w:sz w:val="20"/>
          <w:szCs w:val="20"/>
        </w:rPr>
        <w:fldChar w:fldCharType="end"/>
      </w:r>
      <w:r w:rsidRPr="00833427">
        <w:rPr>
          <w:b/>
          <w:bCs/>
          <w:i w:val="0"/>
          <w:iCs w:val="0"/>
          <w:sz w:val="20"/>
          <w:szCs w:val="20"/>
        </w:rPr>
        <w:t>.</w:t>
      </w:r>
      <w:r w:rsidRPr="00833427">
        <w:rPr>
          <w:i w:val="0"/>
          <w:iCs w:val="0"/>
          <w:sz w:val="20"/>
          <w:szCs w:val="20"/>
        </w:rPr>
        <w:t xml:space="preserve"> Comparison of Subjective Value of Travel Time Savings (SVTTS, SGD/min) distribution, across devices and eye-tracking. Annotation shows </w:t>
      </w:r>
      <w:r w:rsidR="00833427" w:rsidRPr="00833427">
        <w:rPr>
          <w:i w:val="0"/>
          <w:iCs w:val="0"/>
          <w:sz w:val="20"/>
          <w:szCs w:val="20"/>
        </w:rPr>
        <w:t xml:space="preserve">Kolmogorov-Smirnov test between distributions. Distributions are consistent only in the monitor case. </w:t>
      </w:r>
    </w:p>
    <w:p w14:paraId="38F8690F" w14:textId="77777777" w:rsidR="001029C6" w:rsidRPr="006134AA" w:rsidRDefault="001029C6">
      <w:pPr>
        <w:rPr>
          <w:b/>
          <w:bCs/>
        </w:rPr>
      </w:pPr>
    </w:p>
    <w:p w14:paraId="56A99655" w14:textId="77777777" w:rsidR="00833427" w:rsidRDefault="001029C6" w:rsidP="00833427">
      <w:pPr>
        <w:keepNext/>
      </w:pPr>
      <w:r>
        <w:rPr>
          <w:b/>
          <w:bCs/>
          <w:noProof/>
          <w:lang w:val="es-419"/>
        </w:rPr>
        <w:lastRenderedPageBreak/>
        <w:drawing>
          <wp:inline distT="0" distB="0" distL="0" distR="0" wp14:anchorId="1C3ED01B" wp14:editId="1F00C4B2">
            <wp:extent cx="4980155" cy="3638550"/>
            <wp:effectExtent l="0" t="0" r="0" b="0"/>
            <wp:docPr id="1488402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63" cy="3646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0DAEC2" w14:textId="3EAE7D21" w:rsidR="001029C6" w:rsidRPr="00833427" w:rsidRDefault="00833427" w:rsidP="00833427">
      <w:pPr>
        <w:pStyle w:val="Caption"/>
        <w:rPr>
          <w:b/>
          <w:bCs/>
          <w:i w:val="0"/>
          <w:iCs w:val="0"/>
          <w:sz w:val="20"/>
          <w:szCs w:val="20"/>
        </w:rPr>
      </w:pPr>
      <w:r w:rsidRPr="00833427">
        <w:rPr>
          <w:b/>
          <w:bCs/>
          <w:i w:val="0"/>
          <w:iCs w:val="0"/>
          <w:sz w:val="20"/>
          <w:szCs w:val="20"/>
        </w:rPr>
        <w:t xml:space="preserve">Figure </w:t>
      </w:r>
      <w:r w:rsidRPr="00833427">
        <w:rPr>
          <w:b/>
          <w:bCs/>
          <w:i w:val="0"/>
          <w:iCs w:val="0"/>
          <w:sz w:val="20"/>
          <w:szCs w:val="20"/>
        </w:rPr>
        <w:fldChar w:fldCharType="begin"/>
      </w:r>
      <w:r w:rsidRPr="00833427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833427">
        <w:rPr>
          <w:b/>
          <w:bCs/>
          <w:i w:val="0"/>
          <w:iCs w:val="0"/>
          <w:sz w:val="20"/>
          <w:szCs w:val="20"/>
        </w:rPr>
        <w:fldChar w:fldCharType="separate"/>
      </w:r>
      <w:r w:rsidR="00A5258A">
        <w:rPr>
          <w:b/>
          <w:bCs/>
          <w:i w:val="0"/>
          <w:iCs w:val="0"/>
          <w:noProof/>
          <w:sz w:val="20"/>
          <w:szCs w:val="20"/>
        </w:rPr>
        <w:t>2</w:t>
      </w:r>
      <w:r w:rsidRPr="00833427">
        <w:rPr>
          <w:b/>
          <w:bCs/>
          <w:i w:val="0"/>
          <w:iCs w:val="0"/>
          <w:sz w:val="20"/>
          <w:szCs w:val="20"/>
        </w:rPr>
        <w:fldChar w:fldCharType="end"/>
      </w:r>
      <w:r w:rsidRPr="00833427">
        <w:rPr>
          <w:b/>
          <w:bCs/>
          <w:i w:val="0"/>
          <w:iCs w:val="0"/>
          <w:sz w:val="20"/>
          <w:szCs w:val="20"/>
        </w:rPr>
        <w:t>.</w:t>
      </w:r>
      <w:r w:rsidRPr="00833427">
        <w:rPr>
          <w:i w:val="0"/>
          <w:iCs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 Confidence interval.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 is the influence of the information processing on the marginal utility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 ∀ k, </m:t>
        </m:r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 then the information processing captured with eye-tracking is not relevant in the model.</w:t>
      </w:r>
      <w:r w:rsidR="00077FFA">
        <w:rPr>
          <w:rFonts w:eastAsiaTheme="minorEastAsia"/>
          <w:i w:val="0"/>
          <w:iCs w:val="0"/>
          <w:sz w:val="20"/>
          <w:szCs w:val="20"/>
        </w:rPr>
        <w:t xml:space="preserve"> The plot shows that, for Eye-link and Web-Gazer there is at least one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077FFA">
        <w:rPr>
          <w:rFonts w:eastAsiaTheme="minorEastAsia"/>
          <w:i w:val="0"/>
          <w:iCs w:val="0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077FFA">
        <w:rPr>
          <w:rFonts w:eastAsiaTheme="minorEastAsia"/>
          <w:i w:val="0"/>
          <w:iCs w:val="0"/>
          <w:sz w:val="20"/>
          <w:szCs w:val="20"/>
        </w:rPr>
        <w:t>.</w:t>
      </w:r>
    </w:p>
    <w:p w14:paraId="4E9E0B0C" w14:textId="77777777" w:rsidR="00833427" w:rsidRDefault="001029C6" w:rsidP="00833427">
      <w:pPr>
        <w:keepNext/>
      </w:pPr>
      <w:r>
        <w:rPr>
          <w:b/>
          <w:bCs/>
          <w:noProof/>
          <w:lang w:val="es-419"/>
        </w:rPr>
        <w:lastRenderedPageBreak/>
        <w:drawing>
          <wp:inline distT="0" distB="0" distL="0" distR="0" wp14:anchorId="0C696D31" wp14:editId="46840889">
            <wp:extent cx="6134029" cy="4481582"/>
            <wp:effectExtent l="0" t="0" r="635" b="0"/>
            <wp:docPr id="6448811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99" cy="4491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AE3B10" w14:textId="5B66FDB2" w:rsidR="001029C6" w:rsidRPr="00833427" w:rsidRDefault="00833427" w:rsidP="00833427">
      <w:pPr>
        <w:pStyle w:val="Caption"/>
        <w:rPr>
          <w:b/>
          <w:bCs/>
          <w:i w:val="0"/>
          <w:iCs w:val="0"/>
          <w:sz w:val="20"/>
          <w:szCs w:val="20"/>
        </w:rPr>
      </w:pPr>
      <w:r w:rsidRPr="00833427">
        <w:rPr>
          <w:b/>
          <w:bCs/>
          <w:i w:val="0"/>
          <w:iCs w:val="0"/>
          <w:sz w:val="20"/>
          <w:szCs w:val="20"/>
        </w:rPr>
        <w:t xml:space="preserve">Figure </w:t>
      </w:r>
      <w:r w:rsidRPr="00833427">
        <w:rPr>
          <w:b/>
          <w:bCs/>
          <w:i w:val="0"/>
          <w:iCs w:val="0"/>
          <w:sz w:val="20"/>
          <w:szCs w:val="20"/>
        </w:rPr>
        <w:fldChar w:fldCharType="begin"/>
      </w:r>
      <w:r w:rsidRPr="00833427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833427">
        <w:rPr>
          <w:b/>
          <w:bCs/>
          <w:i w:val="0"/>
          <w:iCs w:val="0"/>
          <w:sz w:val="20"/>
          <w:szCs w:val="20"/>
        </w:rPr>
        <w:fldChar w:fldCharType="separate"/>
      </w:r>
      <w:r w:rsidR="00A5258A">
        <w:rPr>
          <w:b/>
          <w:bCs/>
          <w:i w:val="0"/>
          <w:iCs w:val="0"/>
          <w:noProof/>
          <w:sz w:val="20"/>
          <w:szCs w:val="20"/>
        </w:rPr>
        <w:t>3</w:t>
      </w:r>
      <w:r w:rsidRPr="00833427">
        <w:rPr>
          <w:b/>
          <w:bCs/>
          <w:i w:val="0"/>
          <w:iCs w:val="0"/>
          <w:sz w:val="20"/>
          <w:szCs w:val="20"/>
        </w:rPr>
        <w:fldChar w:fldCharType="end"/>
      </w:r>
      <w:r w:rsidRPr="00833427">
        <w:rPr>
          <w:b/>
          <w:bCs/>
          <w:i w:val="0"/>
          <w:iCs w:val="0"/>
          <w:sz w:val="20"/>
          <w:szCs w:val="20"/>
        </w:rPr>
        <w:t>.</w:t>
      </w:r>
      <w:r w:rsidRPr="00833427">
        <w:rPr>
          <w:i w:val="0"/>
          <w:iCs w:val="0"/>
          <w:sz w:val="20"/>
          <w:szCs w:val="20"/>
        </w:rPr>
        <w:t xml:space="preserve"> Distribution of the latent information processing (</w:t>
      </w:r>
      <m:oMath>
        <m:r>
          <w:rPr>
            <w:rFonts w:ascii="Cambria Math" w:hAnsi="Cambria Math"/>
            <w:sz w:val="20"/>
            <w:szCs w:val="20"/>
          </w:rPr>
          <m:t>I</m:t>
        </m:r>
        <m:sSub>
          <m:sSubPr>
            <m:ctrlPr>
              <w:rPr>
                <w:rFonts w:ascii="Cambria Math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) scaled by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>. If both eye-trackers are consistent, then this distribution should be the same. The monitor case shows the most consistent distributions.</w:t>
      </w:r>
      <w:r>
        <w:rPr>
          <w:rFonts w:eastAsiaTheme="minorEastAsia"/>
          <w:i w:val="0"/>
          <w:iCs w:val="0"/>
          <w:sz w:val="20"/>
          <w:szCs w:val="20"/>
        </w:rPr>
        <w:t xml:space="preserve"> </w:t>
      </w:r>
      <w:r w:rsidRPr="00833427">
        <w:rPr>
          <w:i w:val="0"/>
          <w:iCs w:val="0"/>
          <w:sz w:val="20"/>
          <w:szCs w:val="20"/>
        </w:rPr>
        <w:t>Annotation</w:t>
      </w:r>
      <w:r>
        <w:rPr>
          <w:i w:val="0"/>
          <w:iCs w:val="0"/>
          <w:sz w:val="20"/>
          <w:szCs w:val="20"/>
        </w:rPr>
        <w:t xml:space="preserve">s </w:t>
      </w:r>
      <w:r w:rsidRPr="00833427">
        <w:rPr>
          <w:i w:val="0"/>
          <w:iCs w:val="0"/>
          <w:sz w:val="20"/>
          <w:szCs w:val="20"/>
        </w:rPr>
        <w:t>show</w:t>
      </w:r>
      <w:r>
        <w:rPr>
          <w:i w:val="0"/>
          <w:iCs w:val="0"/>
          <w:sz w:val="20"/>
          <w:szCs w:val="20"/>
        </w:rPr>
        <w:t xml:space="preserve"> </w:t>
      </w:r>
      <w:r w:rsidRPr="00833427">
        <w:rPr>
          <w:i w:val="0"/>
          <w:iCs w:val="0"/>
          <w:sz w:val="20"/>
          <w:szCs w:val="20"/>
        </w:rPr>
        <w:t xml:space="preserve">Kolmogorov-Smirnov test between distributions. </w:t>
      </w:r>
    </w:p>
    <w:p w14:paraId="45B3339D" w14:textId="49CB55FD" w:rsidR="001029C6" w:rsidRPr="00833427" w:rsidRDefault="001029C6">
      <w:pPr>
        <w:rPr>
          <w:b/>
          <w:bCs/>
        </w:rPr>
      </w:pPr>
      <w:r w:rsidRPr="00833427">
        <w:rPr>
          <w:b/>
          <w:bCs/>
        </w:rPr>
        <w:t>Pizza experiment</w:t>
      </w:r>
    </w:p>
    <w:p w14:paraId="7F26E917" w14:textId="77777777" w:rsidR="001029C6" w:rsidRPr="00833427" w:rsidRDefault="001029C6">
      <w:pPr>
        <w:rPr>
          <w:b/>
          <w:bCs/>
        </w:rPr>
      </w:pPr>
    </w:p>
    <w:p w14:paraId="2DA3D9B9" w14:textId="5A43543B" w:rsidR="00833427" w:rsidRDefault="00C43B2D" w:rsidP="00833427">
      <w:pPr>
        <w:keepNext/>
      </w:pPr>
      <w:r>
        <w:rPr>
          <w:noProof/>
        </w:rPr>
        <w:lastRenderedPageBreak/>
        <w:drawing>
          <wp:inline distT="0" distB="0" distL="0" distR="0" wp14:anchorId="2D708DD4" wp14:editId="79BC3772">
            <wp:extent cx="4822983" cy="4757443"/>
            <wp:effectExtent l="0" t="0" r="0" b="5080"/>
            <wp:docPr id="31914459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155" cy="4766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A1713" w14:textId="105764F5" w:rsidR="001029C6" w:rsidRPr="00833427" w:rsidRDefault="00833427" w:rsidP="00833427">
      <w:pPr>
        <w:pStyle w:val="Caption"/>
        <w:rPr>
          <w:b/>
          <w:bCs/>
          <w:i w:val="0"/>
          <w:iCs w:val="0"/>
          <w:sz w:val="20"/>
          <w:szCs w:val="20"/>
        </w:rPr>
      </w:pPr>
      <w:r w:rsidRPr="00833427">
        <w:rPr>
          <w:b/>
          <w:bCs/>
          <w:i w:val="0"/>
          <w:iCs w:val="0"/>
          <w:sz w:val="20"/>
          <w:szCs w:val="20"/>
        </w:rPr>
        <w:t xml:space="preserve">Figure </w:t>
      </w:r>
      <w:r w:rsidRPr="00833427">
        <w:rPr>
          <w:b/>
          <w:bCs/>
          <w:i w:val="0"/>
          <w:iCs w:val="0"/>
          <w:sz w:val="20"/>
          <w:szCs w:val="20"/>
        </w:rPr>
        <w:fldChar w:fldCharType="begin"/>
      </w:r>
      <w:r w:rsidRPr="00833427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833427">
        <w:rPr>
          <w:b/>
          <w:bCs/>
          <w:i w:val="0"/>
          <w:iCs w:val="0"/>
          <w:sz w:val="20"/>
          <w:szCs w:val="20"/>
        </w:rPr>
        <w:fldChar w:fldCharType="separate"/>
      </w:r>
      <w:r w:rsidR="00A5258A">
        <w:rPr>
          <w:b/>
          <w:bCs/>
          <w:i w:val="0"/>
          <w:iCs w:val="0"/>
          <w:noProof/>
          <w:sz w:val="20"/>
          <w:szCs w:val="20"/>
        </w:rPr>
        <w:t>4</w:t>
      </w:r>
      <w:r w:rsidRPr="00833427">
        <w:rPr>
          <w:b/>
          <w:bCs/>
          <w:i w:val="0"/>
          <w:iCs w:val="0"/>
          <w:sz w:val="20"/>
          <w:szCs w:val="20"/>
        </w:rPr>
        <w:fldChar w:fldCharType="end"/>
      </w:r>
      <w:r w:rsidRPr="00833427">
        <w:rPr>
          <w:i w:val="0"/>
          <w:iCs w:val="0"/>
          <w:sz w:val="20"/>
          <w:szCs w:val="20"/>
        </w:rPr>
        <w:t xml:space="preserve"> Comparison of </w:t>
      </w:r>
      <w:r w:rsidR="000A70BD">
        <w:rPr>
          <w:i w:val="0"/>
          <w:iCs w:val="0"/>
          <w:sz w:val="20"/>
          <w:szCs w:val="20"/>
        </w:rPr>
        <w:t>Quality Willingness to Pay</w:t>
      </w:r>
      <w:r w:rsidRPr="00833427">
        <w:rPr>
          <w:i w:val="0"/>
          <w:iCs w:val="0"/>
          <w:sz w:val="20"/>
          <w:szCs w:val="20"/>
        </w:rPr>
        <w:t xml:space="preserve"> (</w:t>
      </w:r>
      <w:r w:rsidR="000A70BD">
        <w:rPr>
          <w:i w:val="0"/>
          <w:iCs w:val="0"/>
          <w:sz w:val="20"/>
          <w:szCs w:val="20"/>
        </w:rPr>
        <w:t>QWTP</w:t>
      </w:r>
      <w:r w:rsidRPr="00833427">
        <w:rPr>
          <w:i w:val="0"/>
          <w:iCs w:val="0"/>
          <w:sz w:val="20"/>
          <w:szCs w:val="20"/>
        </w:rPr>
        <w:t>, SGD/</w:t>
      </w:r>
      <w:r w:rsidR="000A70BD">
        <w:rPr>
          <w:i w:val="0"/>
          <w:iCs w:val="0"/>
          <w:sz w:val="20"/>
          <w:szCs w:val="20"/>
        </w:rPr>
        <w:t>qual</w:t>
      </w:r>
      <w:r w:rsidRPr="00833427">
        <w:rPr>
          <w:i w:val="0"/>
          <w:iCs w:val="0"/>
          <w:sz w:val="20"/>
          <w:szCs w:val="20"/>
        </w:rPr>
        <w:t>) distribution, across devices and eye-tracking. Annotation shows Kolmogorov-Smirnov test between distributions. Distributions are consistent</w:t>
      </w:r>
      <w:r>
        <w:rPr>
          <w:i w:val="0"/>
          <w:iCs w:val="0"/>
          <w:sz w:val="20"/>
          <w:szCs w:val="20"/>
        </w:rPr>
        <w:t>.</w:t>
      </w:r>
    </w:p>
    <w:p w14:paraId="034A7960" w14:textId="026DD5B0" w:rsidR="00833427" w:rsidRDefault="000A70BD" w:rsidP="0083342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CF5922" wp14:editId="6BE1C173">
            <wp:extent cx="4110672" cy="4054811"/>
            <wp:effectExtent l="0" t="0" r="4445" b="3175"/>
            <wp:docPr id="145729093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185" cy="4060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A4C6C" w14:textId="6EC09A99" w:rsidR="001029C6" w:rsidRPr="00833427" w:rsidRDefault="00833427" w:rsidP="00077FFA">
      <w:pPr>
        <w:pStyle w:val="Caption"/>
        <w:rPr>
          <w:b/>
          <w:bCs/>
          <w:sz w:val="20"/>
          <w:szCs w:val="20"/>
        </w:rPr>
      </w:pPr>
      <w:r w:rsidRPr="00833427">
        <w:rPr>
          <w:b/>
          <w:bCs/>
          <w:i w:val="0"/>
          <w:iCs w:val="0"/>
          <w:sz w:val="20"/>
          <w:szCs w:val="20"/>
        </w:rPr>
        <w:t xml:space="preserve">Figure </w:t>
      </w:r>
      <w:r w:rsidRPr="00833427">
        <w:rPr>
          <w:b/>
          <w:bCs/>
          <w:i w:val="0"/>
          <w:iCs w:val="0"/>
          <w:sz w:val="20"/>
          <w:szCs w:val="20"/>
        </w:rPr>
        <w:fldChar w:fldCharType="begin"/>
      </w:r>
      <w:r w:rsidRPr="00833427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833427">
        <w:rPr>
          <w:b/>
          <w:bCs/>
          <w:i w:val="0"/>
          <w:iCs w:val="0"/>
          <w:sz w:val="20"/>
          <w:szCs w:val="20"/>
        </w:rPr>
        <w:fldChar w:fldCharType="separate"/>
      </w:r>
      <w:r w:rsidR="00A5258A">
        <w:rPr>
          <w:b/>
          <w:bCs/>
          <w:i w:val="0"/>
          <w:iCs w:val="0"/>
          <w:noProof/>
          <w:sz w:val="20"/>
          <w:szCs w:val="20"/>
        </w:rPr>
        <w:t>5</w:t>
      </w:r>
      <w:r w:rsidRPr="00833427">
        <w:rPr>
          <w:b/>
          <w:bCs/>
          <w:i w:val="0"/>
          <w:iCs w:val="0"/>
          <w:sz w:val="20"/>
          <w:szCs w:val="20"/>
        </w:rPr>
        <w:fldChar w:fldCharType="end"/>
      </w:r>
      <w:r w:rsidRPr="00833427">
        <w:rPr>
          <w:i w:val="0"/>
          <w:iCs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 Confidence interval.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 is the influence of the information processing on the marginal utility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. If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=0 ∀ k, </m:t>
        </m:r>
      </m:oMath>
      <w:r w:rsidRPr="00833427">
        <w:rPr>
          <w:rFonts w:eastAsiaTheme="minorEastAsia"/>
          <w:i w:val="0"/>
          <w:iCs w:val="0"/>
          <w:sz w:val="20"/>
          <w:szCs w:val="20"/>
        </w:rPr>
        <w:t xml:space="preserve"> then the information processing captured with eye-tracking is not relevant in the model</w:t>
      </w:r>
      <w:r>
        <w:rPr>
          <w:rFonts w:eastAsiaTheme="minorEastAsia"/>
          <w:i w:val="0"/>
          <w:iCs w:val="0"/>
          <w:sz w:val="20"/>
          <w:szCs w:val="20"/>
        </w:rPr>
        <w:t xml:space="preserve">. </w:t>
      </w:r>
      <w:r w:rsidR="00077FFA">
        <w:rPr>
          <w:rFonts w:eastAsiaTheme="minorEastAsia"/>
          <w:i w:val="0"/>
          <w:iCs w:val="0"/>
          <w:sz w:val="20"/>
          <w:szCs w:val="20"/>
        </w:rPr>
        <w:t xml:space="preserve">The plot shows that, for Eye-link and Web-Gazer there is at least one </w:t>
      </w:r>
      <m:oMath>
        <m:r>
          <w:rPr>
            <w:rFonts w:ascii="Cambria Math" w:eastAsiaTheme="minorEastAsia" w:hAnsi="Cambria Math"/>
            <w:sz w:val="20"/>
            <w:szCs w:val="20"/>
          </w:rPr>
          <m:t>k</m:t>
        </m:r>
      </m:oMath>
      <w:r w:rsidR="00077FFA">
        <w:rPr>
          <w:rFonts w:eastAsiaTheme="minorEastAsia"/>
          <w:i w:val="0"/>
          <w:iCs w:val="0"/>
          <w:sz w:val="20"/>
          <w:szCs w:val="20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≠0</m:t>
        </m:r>
      </m:oMath>
      <w:r w:rsidR="00077FFA">
        <w:rPr>
          <w:rFonts w:eastAsiaTheme="minorEastAsia"/>
          <w:i w:val="0"/>
          <w:iCs w:val="0"/>
          <w:sz w:val="20"/>
          <w:szCs w:val="20"/>
        </w:rPr>
        <w:t>.</w:t>
      </w:r>
    </w:p>
    <w:p w14:paraId="53899E7D" w14:textId="1F27D42B" w:rsidR="00077FFA" w:rsidRDefault="000A70BD" w:rsidP="00077FFA">
      <w:pPr>
        <w:keepNext/>
      </w:pPr>
      <w:r>
        <w:rPr>
          <w:noProof/>
        </w:rPr>
        <w:lastRenderedPageBreak/>
        <w:drawing>
          <wp:inline distT="0" distB="0" distL="0" distR="0" wp14:anchorId="5F735E0A" wp14:editId="1978B352">
            <wp:extent cx="5085933" cy="5016819"/>
            <wp:effectExtent l="0" t="0" r="635" b="0"/>
            <wp:docPr id="205924709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10" cy="5020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D62C1A" w14:textId="1761AEB9" w:rsidR="00C57842" w:rsidRDefault="00077FFA" w:rsidP="00077FFA">
      <w:pPr>
        <w:pStyle w:val="Caption"/>
        <w:rPr>
          <w:rFonts w:eastAsiaTheme="minorEastAsia"/>
          <w:i w:val="0"/>
          <w:iCs w:val="0"/>
          <w:sz w:val="20"/>
          <w:szCs w:val="20"/>
        </w:rPr>
      </w:pPr>
      <w:r w:rsidRPr="00077FFA">
        <w:rPr>
          <w:b/>
          <w:bCs/>
          <w:i w:val="0"/>
          <w:iCs w:val="0"/>
          <w:sz w:val="20"/>
          <w:szCs w:val="20"/>
        </w:rPr>
        <w:t xml:space="preserve">Figure </w:t>
      </w:r>
      <w:r w:rsidRPr="00077FFA">
        <w:rPr>
          <w:b/>
          <w:bCs/>
          <w:i w:val="0"/>
          <w:iCs w:val="0"/>
          <w:sz w:val="20"/>
          <w:szCs w:val="20"/>
        </w:rPr>
        <w:fldChar w:fldCharType="begin"/>
      </w:r>
      <w:r w:rsidRPr="00077FFA">
        <w:rPr>
          <w:b/>
          <w:bCs/>
          <w:i w:val="0"/>
          <w:iCs w:val="0"/>
          <w:sz w:val="20"/>
          <w:szCs w:val="20"/>
        </w:rPr>
        <w:instrText xml:space="preserve"> SEQ Figure \* ARABIC </w:instrText>
      </w:r>
      <w:r w:rsidRPr="00077FFA">
        <w:rPr>
          <w:b/>
          <w:bCs/>
          <w:i w:val="0"/>
          <w:iCs w:val="0"/>
          <w:sz w:val="20"/>
          <w:szCs w:val="20"/>
        </w:rPr>
        <w:fldChar w:fldCharType="separate"/>
      </w:r>
      <w:r w:rsidR="00A5258A">
        <w:rPr>
          <w:b/>
          <w:bCs/>
          <w:i w:val="0"/>
          <w:iCs w:val="0"/>
          <w:noProof/>
          <w:sz w:val="20"/>
          <w:szCs w:val="20"/>
        </w:rPr>
        <w:t>6</w:t>
      </w:r>
      <w:r w:rsidRPr="00077FFA">
        <w:rPr>
          <w:b/>
          <w:bCs/>
          <w:i w:val="0"/>
          <w:iCs w:val="0"/>
          <w:sz w:val="20"/>
          <w:szCs w:val="20"/>
        </w:rPr>
        <w:fldChar w:fldCharType="end"/>
      </w:r>
      <w:r w:rsidRPr="00077FFA">
        <w:rPr>
          <w:i w:val="0"/>
          <w:iCs w:val="0"/>
          <w:sz w:val="20"/>
          <w:szCs w:val="20"/>
        </w:rPr>
        <w:t xml:space="preserve"> Distribution of the latent information processing (</w:t>
      </w:r>
      <m:oMath>
        <m:r>
          <w:rPr>
            <w:rFonts w:ascii="Cambria Math" w:hAnsi="Cambria Math"/>
            <w:sz w:val="20"/>
            <w:szCs w:val="20"/>
          </w:rPr>
          <m:t>I</m:t>
        </m:r>
        <m:sSub>
          <m:sSubPr>
            <m:ctrlPr>
              <w:rPr>
                <w:rFonts w:ascii="Cambria Math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077FFA">
        <w:rPr>
          <w:rFonts w:eastAsiaTheme="minorEastAsia"/>
          <w:i w:val="0"/>
          <w:iCs w:val="0"/>
          <w:sz w:val="20"/>
          <w:szCs w:val="20"/>
        </w:rPr>
        <w:t xml:space="preserve">) scaled by </w:t>
      </w:r>
      <m:oMath>
        <m:sSub>
          <m:sSubPr>
            <m:ctrlPr>
              <w:rPr>
                <w:rFonts w:ascii="Cambria Math" w:eastAsiaTheme="minorEastAsia" w:hAnsi="Cambria Math"/>
                <w:i w:val="0"/>
                <w:iCs w:val="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sub>
        </m:sSub>
      </m:oMath>
      <w:r w:rsidRPr="00077FFA">
        <w:rPr>
          <w:rFonts w:eastAsiaTheme="minorEastAsia"/>
          <w:i w:val="0"/>
          <w:iCs w:val="0"/>
          <w:sz w:val="20"/>
          <w:szCs w:val="20"/>
        </w:rPr>
        <w:t xml:space="preserve">. If both eye-trackers are consistent, then this distribution should be the same. </w:t>
      </w:r>
      <w:r w:rsidRPr="00077FFA">
        <w:rPr>
          <w:i w:val="0"/>
          <w:iCs w:val="0"/>
          <w:sz w:val="20"/>
          <w:szCs w:val="20"/>
        </w:rPr>
        <w:t>Annotations show Kolmogorov-Smirnov test between distributions.</w:t>
      </w:r>
      <w:r>
        <w:rPr>
          <w:i w:val="0"/>
          <w:iCs w:val="0"/>
          <w:sz w:val="20"/>
          <w:szCs w:val="20"/>
        </w:rPr>
        <w:t xml:space="preserve"> </w:t>
      </w:r>
      <w:r w:rsidR="000A70BD">
        <w:rPr>
          <w:rFonts w:eastAsiaTheme="minorEastAsia"/>
          <w:i w:val="0"/>
          <w:iCs w:val="0"/>
          <w:sz w:val="20"/>
          <w:szCs w:val="20"/>
        </w:rPr>
        <w:t>All cases are consistent except mobile.</w:t>
      </w:r>
    </w:p>
    <w:p w14:paraId="01011436" w14:textId="77777777" w:rsidR="00077FFA" w:rsidRDefault="00077FFA" w:rsidP="00077FFA"/>
    <w:p w14:paraId="1DEAF296" w14:textId="77777777" w:rsidR="00C43B2D" w:rsidRDefault="00C43B2D" w:rsidP="00077FFA"/>
    <w:p w14:paraId="30C08BA5" w14:textId="77777777" w:rsidR="00C43B2D" w:rsidRDefault="00C43B2D" w:rsidP="00077FFA"/>
    <w:p w14:paraId="2CFF64E2" w14:textId="77777777" w:rsidR="00C43B2D" w:rsidRDefault="00C43B2D" w:rsidP="00077FFA"/>
    <w:p w14:paraId="662BBF8D" w14:textId="77777777" w:rsidR="00C43B2D" w:rsidRDefault="00C43B2D" w:rsidP="00077FFA"/>
    <w:p w14:paraId="0938C424" w14:textId="77777777" w:rsidR="00C43B2D" w:rsidRDefault="00C43B2D" w:rsidP="00077FFA"/>
    <w:p w14:paraId="0228F9A9" w14:textId="77777777" w:rsidR="00C43B2D" w:rsidRDefault="00C43B2D" w:rsidP="00077FFA"/>
    <w:p w14:paraId="53D2037B" w14:textId="77777777" w:rsidR="00C43B2D" w:rsidRDefault="00C43B2D" w:rsidP="00077FFA"/>
    <w:p w14:paraId="355491D1" w14:textId="77777777" w:rsidR="00C43B2D" w:rsidRDefault="00C43B2D" w:rsidP="00077FFA"/>
    <w:p w14:paraId="02CECE20" w14:textId="77777777" w:rsidR="00C43B2D" w:rsidRDefault="00C43B2D" w:rsidP="00077FFA"/>
    <w:p w14:paraId="4C7A15E1" w14:textId="77777777" w:rsidR="00C43B2D" w:rsidRDefault="00C43B2D" w:rsidP="00077FFA"/>
    <w:p w14:paraId="06ADDC4E" w14:textId="06346437" w:rsidR="00077FFA" w:rsidRPr="00077FFA" w:rsidRDefault="00077FFA" w:rsidP="00077FFA">
      <w:pPr>
        <w:rPr>
          <w:b/>
          <w:bCs/>
        </w:rPr>
      </w:pPr>
      <w:r w:rsidRPr="00077FFA">
        <w:rPr>
          <w:b/>
          <w:bCs/>
        </w:rPr>
        <w:lastRenderedPageBreak/>
        <w:t>Comparison</w:t>
      </w:r>
    </w:p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2480"/>
        <w:gridCol w:w="1201"/>
        <w:gridCol w:w="1357"/>
        <w:gridCol w:w="1584"/>
        <w:gridCol w:w="20"/>
        <w:gridCol w:w="1223"/>
        <w:gridCol w:w="1563"/>
        <w:gridCol w:w="20"/>
      </w:tblGrid>
      <w:tr w:rsidR="00077FFA" w:rsidRPr="00077FFA" w14:paraId="7A1B883B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 w:val="restart"/>
            <w:noWrap/>
            <w:hideMark/>
          </w:tcPr>
          <w:p w14:paraId="5619E0E8" w14:textId="7B488752" w:rsidR="00077FFA" w:rsidRPr="00077FFA" w:rsidRDefault="00077FFA" w:rsidP="00077FFA">
            <w:pPr>
              <w:rPr>
                <w:b/>
                <w:bCs/>
              </w:rPr>
            </w:pPr>
            <w:r>
              <w:rPr>
                <w:b/>
                <w:bCs/>
              </w:rPr>
              <w:t>Hypothesis</w:t>
            </w:r>
          </w:p>
        </w:tc>
        <w:tc>
          <w:tcPr>
            <w:tcW w:w="1201" w:type="dxa"/>
            <w:vMerge w:val="restart"/>
            <w:noWrap/>
            <w:hideMark/>
          </w:tcPr>
          <w:p w14:paraId="39D60F21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Device</w:t>
            </w:r>
          </w:p>
        </w:tc>
        <w:tc>
          <w:tcPr>
            <w:tcW w:w="2941" w:type="dxa"/>
            <w:gridSpan w:val="2"/>
            <w:noWrap/>
            <w:hideMark/>
          </w:tcPr>
          <w:p w14:paraId="640F3F93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Experiment 1</w:t>
            </w:r>
          </w:p>
        </w:tc>
        <w:tc>
          <w:tcPr>
            <w:tcW w:w="2806" w:type="dxa"/>
            <w:gridSpan w:val="3"/>
            <w:noWrap/>
            <w:hideMark/>
          </w:tcPr>
          <w:p w14:paraId="3806DB65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Experiment 2</w:t>
            </w:r>
          </w:p>
        </w:tc>
      </w:tr>
      <w:tr w:rsidR="00077FFA" w:rsidRPr="00077FFA" w14:paraId="145C64C3" w14:textId="77777777" w:rsidTr="00077FFA">
        <w:trPr>
          <w:trHeight w:val="285"/>
        </w:trPr>
        <w:tc>
          <w:tcPr>
            <w:tcW w:w="2480" w:type="dxa"/>
            <w:vMerge/>
            <w:hideMark/>
          </w:tcPr>
          <w:p w14:paraId="0D4637C6" w14:textId="77777777" w:rsidR="00077FFA" w:rsidRPr="00077FFA" w:rsidRDefault="00077FFA">
            <w:pPr>
              <w:rPr>
                <w:b/>
                <w:bCs/>
              </w:rPr>
            </w:pPr>
          </w:p>
        </w:tc>
        <w:tc>
          <w:tcPr>
            <w:tcW w:w="1201" w:type="dxa"/>
            <w:vMerge/>
            <w:hideMark/>
          </w:tcPr>
          <w:p w14:paraId="59D64F9D" w14:textId="77777777" w:rsidR="00077FFA" w:rsidRPr="00077FFA" w:rsidRDefault="00077FFA">
            <w:pPr>
              <w:rPr>
                <w:b/>
                <w:bCs/>
              </w:rPr>
            </w:pPr>
          </w:p>
        </w:tc>
        <w:tc>
          <w:tcPr>
            <w:tcW w:w="1357" w:type="dxa"/>
            <w:noWrap/>
            <w:hideMark/>
          </w:tcPr>
          <w:p w14:paraId="0DB92C14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Eye-Link</w:t>
            </w:r>
          </w:p>
        </w:tc>
        <w:tc>
          <w:tcPr>
            <w:tcW w:w="1604" w:type="dxa"/>
            <w:gridSpan w:val="2"/>
            <w:noWrap/>
            <w:hideMark/>
          </w:tcPr>
          <w:p w14:paraId="13DCC047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Web-Gazer</w:t>
            </w:r>
          </w:p>
        </w:tc>
        <w:tc>
          <w:tcPr>
            <w:tcW w:w="1223" w:type="dxa"/>
            <w:noWrap/>
            <w:hideMark/>
          </w:tcPr>
          <w:p w14:paraId="16C92270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Eye-Link</w:t>
            </w:r>
          </w:p>
        </w:tc>
        <w:tc>
          <w:tcPr>
            <w:tcW w:w="1583" w:type="dxa"/>
            <w:gridSpan w:val="2"/>
            <w:noWrap/>
            <w:hideMark/>
          </w:tcPr>
          <w:p w14:paraId="3D3AD078" w14:textId="77777777" w:rsidR="00077FFA" w:rsidRPr="00077FFA" w:rsidRDefault="00077FFA" w:rsidP="00077FFA">
            <w:pPr>
              <w:rPr>
                <w:b/>
                <w:bCs/>
              </w:rPr>
            </w:pPr>
            <w:r w:rsidRPr="00077FFA">
              <w:rPr>
                <w:b/>
                <w:bCs/>
              </w:rPr>
              <w:t>Web-Gazer</w:t>
            </w:r>
          </w:p>
        </w:tc>
      </w:tr>
      <w:tr w:rsidR="00077FFA" w:rsidRPr="00077FFA" w14:paraId="03017A3B" w14:textId="77777777" w:rsidTr="00077FFA">
        <w:trPr>
          <w:trHeight w:val="285"/>
        </w:trPr>
        <w:tc>
          <w:tcPr>
            <w:tcW w:w="2480" w:type="dxa"/>
            <w:vMerge w:val="restart"/>
            <w:hideMark/>
          </w:tcPr>
          <w:p w14:paraId="37924629" w14:textId="166CD026" w:rsidR="00077FFA" w:rsidRPr="00077FFA" w:rsidRDefault="00F8566D" w:rsidP="00077FFA">
            <w:r>
              <w:t xml:space="preserve">H1: </w:t>
            </w:r>
            <w:r w:rsidR="00077FFA">
              <w:t>E</w:t>
            </w:r>
            <w:r w:rsidR="00077FFA" w:rsidRPr="00077FFA">
              <w:t xml:space="preserve">ye-tracking data </w:t>
            </w:r>
            <w:r w:rsidR="00077FFA">
              <w:t xml:space="preserve">is </w:t>
            </w:r>
            <w:r w:rsidR="00077FFA" w:rsidRPr="00077FFA">
              <w:t>relevant in the model</w:t>
            </w:r>
          </w:p>
        </w:tc>
        <w:tc>
          <w:tcPr>
            <w:tcW w:w="1201" w:type="dxa"/>
            <w:noWrap/>
            <w:hideMark/>
          </w:tcPr>
          <w:p w14:paraId="019A6B04" w14:textId="77777777" w:rsidR="00077FFA" w:rsidRPr="00077FFA" w:rsidRDefault="00077FFA">
            <w:r w:rsidRPr="00077FFA">
              <w:t>Monitor</w:t>
            </w:r>
          </w:p>
        </w:tc>
        <w:tc>
          <w:tcPr>
            <w:tcW w:w="1357" w:type="dxa"/>
            <w:noWrap/>
            <w:hideMark/>
          </w:tcPr>
          <w:p w14:paraId="1C081CF2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604" w:type="dxa"/>
            <w:gridSpan w:val="2"/>
            <w:noWrap/>
            <w:hideMark/>
          </w:tcPr>
          <w:p w14:paraId="7E4B34FF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223" w:type="dxa"/>
            <w:noWrap/>
            <w:hideMark/>
          </w:tcPr>
          <w:p w14:paraId="263D121D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583" w:type="dxa"/>
            <w:gridSpan w:val="2"/>
            <w:noWrap/>
            <w:hideMark/>
          </w:tcPr>
          <w:p w14:paraId="0FEC9AF6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4F482940" w14:textId="77777777" w:rsidTr="00077FFA">
        <w:trPr>
          <w:trHeight w:val="285"/>
        </w:trPr>
        <w:tc>
          <w:tcPr>
            <w:tcW w:w="2480" w:type="dxa"/>
            <w:vMerge/>
            <w:hideMark/>
          </w:tcPr>
          <w:p w14:paraId="6ABAD903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1D242F0C" w14:textId="77777777" w:rsidR="00077FFA" w:rsidRPr="00077FFA" w:rsidRDefault="00077FFA">
            <w:r w:rsidRPr="00077FFA">
              <w:t>Laptop</w:t>
            </w:r>
          </w:p>
        </w:tc>
        <w:tc>
          <w:tcPr>
            <w:tcW w:w="1357" w:type="dxa"/>
            <w:noWrap/>
            <w:hideMark/>
          </w:tcPr>
          <w:p w14:paraId="102D9982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604" w:type="dxa"/>
            <w:gridSpan w:val="2"/>
            <w:noWrap/>
            <w:hideMark/>
          </w:tcPr>
          <w:p w14:paraId="4066C1E8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223" w:type="dxa"/>
            <w:noWrap/>
            <w:hideMark/>
          </w:tcPr>
          <w:p w14:paraId="4129A52B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583" w:type="dxa"/>
            <w:gridSpan w:val="2"/>
            <w:noWrap/>
            <w:hideMark/>
          </w:tcPr>
          <w:p w14:paraId="75B22BD3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049FF364" w14:textId="77777777" w:rsidTr="00077FFA">
        <w:trPr>
          <w:trHeight w:val="285"/>
        </w:trPr>
        <w:tc>
          <w:tcPr>
            <w:tcW w:w="2480" w:type="dxa"/>
            <w:vMerge/>
            <w:hideMark/>
          </w:tcPr>
          <w:p w14:paraId="1E634FCC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62F90CE4" w14:textId="77777777" w:rsidR="00077FFA" w:rsidRPr="00077FFA" w:rsidRDefault="00077FFA">
            <w:r w:rsidRPr="00077FFA">
              <w:t>Tablet</w:t>
            </w:r>
          </w:p>
        </w:tc>
        <w:tc>
          <w:tcPr>
            <w:tcW w:w="1357" w:type="dxa"/>
            <w:noWrap/>
            <w:hideMark/>
          </w:tcPr>
          <w:p w14:paraId="0770611F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604" w:type="dxa"/>
            <w:gridSpan w:val="2"/>
            <w:noWrap/>
            <w:hideMark/>
          </w:tcPr>
          <w:p w14:paraId="7D4A9103" w14:textId="77777777" w:rsidR="00077FFA" w:rsidRPr="00077FFA" w:rsidRDefault="00077FFA" w:rsidP="00C43B2D">
            <w:pPr>
              <w:jc w:val="center"/>
            </w:pPr>
            <w:r w:rsidRPr="00077FFA">
              <w:t>No</w:t>
            </w:r>
          </w:p>
        </w:tc>
        <w:tc>
          <w:tcPr>
            <w:tcW w:w="1223" w:type="dxa"/>
            <w:noWrap/>
            <w:hideMark/>
          </w:tcPr>
          <w:p w14:paraId="30AA2D7B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583" w:type="dxa"/>
            <w:gridSpan w:val="2"/>
            <w:noWrap/>
            <w:hideMark/>
          </w:tcPr>
          <w:p w14:paraId="0B9F983C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024F1AC5" w14:textId="77777777" w:rsidTr="00077FFA">
        <w:trPr>
          <w:trHeight w:val="285"/>
        </w:trPr>
        <w:tc>
          <w:tcPr>
            <w:tcW w:w="2480" w:type="dxa"/>
            <w:vMerge/>
            <w:hideMark/>
          </w:tcPr>
          <w:p w14:paraId="074902A5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16F73A14" w14:textId="77777777" w:rsidR="00077FFA" w:rsidRPr="00077FFA" w:rsidRDefault="00077FFA">
            <w:r w:rsidRPr="00077FFA">
              <w:t>Mobile</w:t>
            </w:r>
          </w:p>
        </w:tc>
        <w:tc>
          <w:tcPr>
            <w:tcW w:w="1357" w:type="dxa"/>
            <w:noWrap/>
            <w:hideMark/>
          </w:tcPr>
          <w:p w14:paraId="257BC558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604" w:type="dxa"/>
            <w:gridSpan w:val="2"/>
            <w:noWrap/>
            <w:hideMark/>
          </w:tcPr>
          <w:p w14:paraId="184E7DAA" w14:textId="77777777" w:rsidR="00077FFA" w:rsidRPr="00077FFA" w:rsidRDefault="00077FFA" w:rsidP="00C43B2D">
            <w:pPr>
              <w:jc w:val="center"/>
            </w:pPr>
            <w:r w:rsidRPr="00077FFA">
              <w:t>No</w:t>
            </w:r>
          </w:p>
        </w:tc>
        <w:tc>
          <w:tcPr>
            <w:tcW w:w="1223" w:type="dxa"/>
            <w:noWrap/>
            <w:hideMark/>
          </w:tcPr>
          <w:p w14:paraId="16379B2F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1583" w:type="dxa"/>
            <w:gridSpan w:val="2"/>
            <w:noWrap/>
            <w:hideMark/>
          </w:tcPr>
          <w:p w14:paraId="6E4904EE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2CF86D0E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 w:val="restart"/>
            <w:hideMark/>
          </w:tcPr>
          <w:p w14:paraId="2FC2B83B" w14:textId="772B619E" w:rsidR="00077FFA" w:rsidRPr="00077FFA" w:rsidRDefault="00F8566D" w:rsidP="00077FFA">
            <w:r>
              <w:t xml:space="preserve">H2: </w:t>
            </w:r>
            <w:r w:rsidR="00077FFA">
              <w:t>L</w:t>
            </w:r>
            <w:r w:rsidR="00077FFA" w:rsidRPr="00077FFA">
              <w:t xml:space="preserve">atent IP distribution </w:t>
            </w:r>
            <w:r w:rsidR="00077FFA">
              <w:t xml:space="preserve">are </w:t>
            </w:r>
            <w:r w:rsidR="00077FFA" w:rsidRPr="00077FFA">
              <w:t>consistent</w:t>
            </w:r>
            <w:r w:rsidR="00077FFA">
              <w:t xml:space="preserve"> across eye-trackers</w:t>
            </w:r>
          </w:p>
        </w:tc>
        <w:tc>
          <w:tcPr>
            <w:tcW w:w="1201" w:type="dxa"/>
            <w:noWrap/>
            <w:hideMark/>
          </w:tcPr>
          <w:p w14:paraId="5C227FE8" w14:textId="77777777" w:rsidR="00077FFA" w:rsidRPr="00077FFA" w:rsidRDefault="00077FFA">
            <w:r w:rsidRPr="00077FFA">
              <w:t>Monitor</w:t>
            </w:r>
          </w:p>
        </w:tc>
        <w:tc>
          <w:tcPr>
            <w:tcW w:w="2941" w:type="dxa"/>
            <w:gridSpan w:val="2"/>
            <w:noWrap/>
            <w:hideMark/>
          </w:tcPr>
          <w:p w14:paraId="3291DB45" w14:textId="77777777" w:rsidR="00077FFA" w:rsidRPr="00077FFA" w:rsidRDefault="00077FFA" w:rsidP="00C43B2D">
            <w:pPr>
              <w:jc w:val="center"/>
            </w:pPr>
            <w:r w:rsidRPr="00077FFA">
              <w:t>Yes (2/3)</w:t>
            </w:r>
          </w:p>
        </w:tc>
        <w:tc>
          <w:tcPr>
            <w:tcW w:w="2806" w:type="dxa"/>
            <w:gridSpan w:val="3"/>
            <w:noWrap/>
            <w:hideMark/>
          </w:tcPr>
          <w:p w14:paraId="2095C6CD" w14:textId="475C0E70" w:rsidR="00077FFA" w:rsidRPr="00077FFA" w:rsidRDefault="00C43B2D" w:rsidP="00C43B2D">
            <w:pPr>
              <w:jc w:val="center"/>
            </w:pPr>
            <w:r>
              <w:t>Yes (2/2)</w:t>
            </w:r>
          </w:p>
        </w:tc>
      </w:tr>
      <w:tr w:rsidR="00077FFA" w:rsidRPr="00077FFA" w14:paraId="555C541C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/>
            <w:hideMark/>
          </w:tcPr>
          <w:p w14:paraId="517C8FF8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32AC0DC9" w14:textId="77777777" w:rsidR="00077FFA" w:rsidRPr="00077FFA" w:rsidRDefault="00077FFA">
            <w:r w:rsidRPr="00077FFA">
              <w:t>Laptop</w:t>
            </w:r>
          </w:p>
        </w:tc>
        <w:tc>
          <w:tcPr>
            <w:tcW w:w="2941" w:type="dxa"/>
            <w:gridSpan w:val="2"/>
            <w:noWrap/>
            <w:hideMark/>
          </w:tcPr>
          <w:p w14:paraId="0D99B90E" w14:textId="77777777" w:rsidR="00077FFA" w:rsidRPr="00077FFA" w:rsidRDefault="00077FFA" w:rsidP="00C43B2D">
            <w:pPr>
              <w:jc w:val="center"/>
            </w:pPr>
            <w:r w:rsidRPr="00077FFA">
              <w:t>No (0)</w:t>
            </w:r>
          </w:p>
        </w:tc>
        <w:tc>
          <w:tcPr>
            <w:tcW w:w="2806" w:type="dxa"/>
            <w:gridSpan w:val="3"/>
            <w:noWrap/>
            <w:hideMark/>
          </w:tcPr>
          <w:p w14:paraId="5D5D0A2D" w14:textId="51F03E04" w:rsidR="00077FFA" w:rsidRPr="00077FFA" w:rsidRDefault="00077FFA" w:rsidP="00C43B2D">
            <w:pPr>
              <w:jc w:val="center"/>
            </w:pPr>
            <w:r w:rsidRPr="00077FFA">
              <w:t>Yes</w:t>
            </w:r>
            <w:r w:rsidR="00C43B2D">
              <w:t xml:space="preserve"> (2/2)</w:t>
            </w:r>
          </w:p>
        </w:tc>
      </w:tr>
      <w:tr w:rsidR="00077FFA" w:rsidRPr="00077FFA" w14:paraId="354F8112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/>
            <w:hideMark/>
          </w:tcPr>
          <w:p w14:paraId="5213A85D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572ECABB" w14:textId="77777777" w:rsidR="00077FFA" w:rsidRPr="00077FFA" w:rsidRDefault="00077FFA">
            <w:r w:rsidRPr="00077FFA">
              <w:t>Tablet</w:t>
            </w:r>
          </w:p>
        </w:tc>
        <w:tc>
          <w:tcPr>
            <w:tcW w:w="2941" w:type="dxa"/>
            <w:gridSpan w:val="2"/>
            <w:noWrap/>
            <w:hideMark/>
          </w:tcPr>
          <w:p w14:paraId="392444B2" w14:textId="77777777" w:rsidR="00077FFA" w:rsidRPr="00077FFA" w:rsidRDefault="00077FFA" w:rsidP="00C43B2D">
            <w:pPr>
              <w:jc w:val="center"/>
            </w:pPr>
            <w:r w:rsidRPr="00077FFA">
              <w:t>No (1/3)</w:t>
            </w:r>
          </w:p>
        </w:tc>
        <w:tc>
          <w:tcPr>
            <w:tcW w:w="2806" w:type="dxa"/>
            <w:gridSpan w:val="3"/>
            <w:noWrap/>
            <w:hideMark/>
          </w:tcPr>
          <w:p w14:paraId="3F6C358F" w14:textId="364BB113" w:rsidR="00077FFA" w:rsidRPr="00077FFA" w:rsidRDefault="00C43B2D" w:rsidP="00C43B2D">
            <w:pPr>
              <w:jc w:val="center"/>
            </w:pPr>
            <w:r>
              <w:t>Yes (2/2)</w:t>
            </w:r>
          </w:p>
        </w:tc>
      </w:tr>
      <w:tr w:rsidR="00077FFA" w:rsidRPr="00077FFA" w14:paraId="429904A6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/>
            <w:hideMark/>
          </w:tcPr>
          <w:p w14:paraId="46176C60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0BA57ABE" w14:textId="77777777" w:rsidR="00077FFA" w:rsidRPr="00077FFA" w:rsidRDefault="00077FFA">
            <w:r w:rsidRPr="00077FFA">
              <w:t>Mobile</w:t>
            </w:r>
          </w:p>
        </w:tc>
        <w:tc>
          <w:tcPr>
            <w:tcW w:w="2941" w:type="dxa"/>
            <w:gridSpan w:val="2"/>
            <w:noWrap/>
            <w:hideMark/>
          </w:tcPr>
          <w:p w14:paraId="666272A9" w14:textId="77777777" w:rsidR="00077FFA" w:rsidRPr="00077FFA" w:rsidRDefault="00077FFA" w:rsidP="00C43B2D">
            <w:pPr>
              <w:jc w:val="center"/>
            </w:pPr>
            <w:r w:rsidRPr="00077FFA">
              <w:t>No (0)</w:t>
            </w:r>
          </w:p>
        </w:tc>
        <w:tc>
          <w:tcPr>
            <w:tcW w:w="2806" w:type="dxa"/>
            <w:gridSpan w:val="3"/>
            <w:noWrap/>
            <w:hideMark/>
          </w:tcPr>
          <w:p w14:paraId="69D59A9A" w14:textId="219E0F05" w:rsidR="00077FFA" w:rsidRPr="00077FFA" w:rsidRDefault="00077FFA" w:rsidP="00C43B2D">
            <w:pPr>
              <w:jc w:val="center"/>
            </w:pPr>
            <w:r w:rsidRPr="00077FFA">
              <w:t>No</w:t>
            </w:r>
            <w:r w:rsidR="00C43B2D">
              <w:t xml:space="preserve"> (1/2)</w:t>
            </w:r>
          </w:p>
        </w:tc>
      </w:tr>
      <w:tr w:rsidR="00077FFA" w:rsidRPr="00077FFA" w14:paraId="14D3CC5B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 w:val="restart"/>
            <w:hideMark/>
          </w:tcPr>
          <w:p w14:paraId="03543411" w14:textId="47E98598" w:rsidR="00077FFA" w:rsidRPr="00077FFA" w:rsidRDefault="00F8566D" w:rsidP="00077FFA">
            <w:r>
              <w:t xml:space="preserve">H3: </w:t>
            </w:r>
            <w:r w:rsidR="00077FFA">
              <w:t xml:space="preserve">The distribution of </w:t>
            </w:r>
            <w:r w:rsidR="00077FFA" w:rsidRPr="00077FFA">
              <w:t xml:space="preserve">WTP </w:t>
            </w:r>
            <w:r w:rsidR="00077FFA">
              <w:t>for relevant attributes are</w:t>
            </w:r>
            <w:r w:rsidR="00077FFA" w:rsidRPr="00077FFA">
              <w:t xml:space="preserve"> consistent</w:t>
            </w:r>
            <w:r w:rsidR="00077FFA">
              <w:t xml:space="preserve"> across eye-trackers</w:t>
            </w:r>
          </w:p>
        </w:tc>
        <w:tc>
          <w:tcPr>
            <w:tcW w:w="1201" w:type="dxa"/>
            <w:noWrap/>
            <w:hideMark/>
          </w:tcPr>
          <w:p w14:paraId="505E28E5" w14:textId="77777777" w:rsidR="00077FFA" w:rsidRPr="00077FFA" w:rsidRDefault="00077FFA">
            <w:r w:rsidRPr="00077FFA">
              <w:t>Monitor</w:t>
            </w:r>
          </w:p>
        </w:tc>
        <w:tc>
          <w:tcPr>
            <w:tcW w:w="2941" w:type="dxa"/>
            <w:gridSpan w:val="2"/>
            <w:noWrap/>
            <w:hideMark/>
          </w:tcPr>
          <w:p w14:paraId="4753C64A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  <w:tc>
          <w:tcPr>
            <w:tcW w:w="2806" w:type="dxa"/>
            <w:gridSpan w:val="3"/>
            <w:noWrap/>
            <w:hideMark/>
          </w:tcPr>
          <w:p w14:paraId="73EAE157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4F4D3516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/>
            <w:hideMark/>
          </w:tcPr>
          <w:p w14:paraId="1C537B61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49B0F42E" w14:textId="77777777" w:rsidR="00077FFA" w:rsidRPr="00077FFA" w:rsidRDefault="00077FFA">
            <w:r w:rsidRPr="00077FFA">
              <w:t>Laptop</w:t>
            </w:r>
          </w:p>
        </w:tc>
        <w:tc>
          <w:tcPr>
            <w:tcW w:w="2941" w:type="dxa"/>
            <w:gridSpan w:val="2"/>
            <w:noWrap/>
            <w:hideMark/>
          </w:tcPr>
          <w:p w14:paraId="24946E8A" w14:textId="77777777" w:rsidR="00077FFA" w:rsidRPr="00077FFA" w:rsidRDefault="00077FFA" w:rsidP="00C43B2D">
            <w:pPr>
              <w:jc w:val="center"/>
            </w:pPr>
            <w:r w:rsidRPr="00077FFA">
              <w:t>No</w:t>
            </w:r>
          </w:p>
        </w:tc>
        <w:tc>
          <w:tcPr>
            <w:tcW w:w="2806" w:type="dxa"/>
            <w:gridSpan w:val="3"/>
            <w:noWrap/>
            <w:hideMark/>
          </w:tcPr>
          <w:p w14:paraId="6D617833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7072B109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/>
            <w:hideMark/>
          </w:tcPr>
          <w:p w14:paraId="5FFA70DF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25C8F9B9" w14:textId="77777777" w:rsidR="00077FFA" w:rsidRPr="00077FFA" w:rsidRDefault="00077FFA">
            <w:r w:rsidRPr="00077FFA">
              <w:t>Tablet</w:t>
            </w:r>
          </w:p>
        </w:tc>
        <w:tc>
          <w:tcPr>
            <w:tcW w:w="2941" w:type="dxa"/>
            <w:gridSpan w:val="2"/>
            <w:noWrap/>
            <w:hideMark/>
          </w:tcPr>
          <w:p w14:paraId="2A20F876" w14:textId="77777777" w:rsidR="00077FFA" w:rsidRPr="00077FFA" w:rsidRDefault="00077FFA" w:rsidP="00C43B2D">
            <w:pPr>
              <w:jc w:val="center"/>
            </w:pPr>
            <w:r w:rsidRPr="00077FFA">
              <w:t>No</w:t>
            </w:r>
          </w:p>
        </w:tc>
        <w:tc>
          <w:tcPr>
            <w:tcW w:w="2806" w:type="dxa"/>
            <w:gridSpan w:val="3"/>
            <w:noWrap/>
            <w:hideMark/>
          </w:tcPr>
          <w:p w14:paraId="4DE8A0EE" w14:textId="77777777" w:rsidR="00077FFA" w:rsidRPr="00077FFA" w:rsidRDefault="00077FFA" w:rsidP="00C43B2D">
            <w:pPr>
              <w:jc w:val="center"/>
            </w:pPr>
            <w:r w:rsidRPr="00077FFA">
              <w:t>Yes</w:t>
            </w:r>
          </w:p>
        </w:tc>
      </w:tr>
      <w:tr w:rsidR="00077FFA" w:rsidRPr="00077FFA" w14:paraId="63AB7446" w14:textId="77777777" w:rsidTr="00077FFA">
        <w:trPr>
          <w:gridAfter w:val="1"/>
          <w:wAfter w:w="20" w:type="dxa"/>
          <w:trHeight w:val="285"/>
        </w:trPr>
        <w:tc>
          <w:tcPr>
            <w:tcW w:w="2480" w:type="dxa"/>
            <w:vMerge/>
            <w:hideMark/>
          </w:tcPr>
          <w:p w14:paraId="7AFE99A8" w14:textId="77777777" w:rsidR="00077FFA" w:rsidRPr="00077FFA" w:rsidRDefault="00077FFA"/>
        </w:tc>
        <w:tc>
          <w:tcPr>
            <w:tcW w:w="1201" w:type="dxa"/>
            <w:noWrap/>
            <w:hideMark/>
          </w:tcPr>
          <w:p w14:paraId="1459B7BF" w14:textId="77777777" w:rsidR="00077FFA" w:rsidRPr="00077FFA" w:rsidRDefault="00077FFA">
            <w:r w:rsidRPr="00077FFA">
              <w:t>Mobile</w:t>
            </w:r>
          </w:p>
        </w:tc>
        <w:tc>
          <w:tcPr>
            <w:tcW w:w="2941" w:type="dxa"/>
            <w:gridSpan w:val="2"/>
            <w:noWrap/>
            <w:hideMark/>
          </w:tcPr>
          <w:p w14:paraId="50EADBA6" w14:textId="77777777" w:rsidR="00077FFA" w:rsidRPr="00077FFA" w:rsidRDefault="00077FFA" w:rsidP="00C43B2D">
            <w:pPr>
              <w:jc w:val="center"/>
            </w:pPr>
            <w:r w:rsidRPr="00077FFA">
              <w:t>No</w:t>
            </w:r>
          </w:p>
        </w:tc>
        <w:tc>
          <w:tcPr>
            <w:tcW w:w="2806" w:type="dxa"/>
            <w:gridSpan w:val="3"/>
            <w:noWrap/>
            <w:hideMark/>
          </w:tcPr>
          <w:p w14:paraId="5CF95129" w14:textId="77777777" w:rsidR="00077FFA" w:rsidRPr="00077FFA" w:rsidRDefault="00077FFA" w:rsidP="00C43B2D">
            <w:pPr>
              <w:jc w:val="center"/>
            </w:pPr>
            <w:r w:rsidRPr="00077FFA">
              <w:t>No</w:t>
            </w:r>
          </w:p>
        </w:tc>
      </w:tr>
    </w:tbl>
    <w:p w14:paraId="6B3B07C9" w14:textId="77777777" w:rsidR="00077FFA" w:rsidRDefault="00077FFA" w:rsidP="00077FFA"/>
    <w:p w14:paraId="5B7383F8" w14:textId="724AB7D8" w:rsidR="00F8566D" w:rsidRDefault="00F8566D" w:rsidP="00077FFA">
      <w:pPr>
        <w:rPr>
          <w:rFonts w:eastAsiaTheme="minorEastAsia"/>
        </w:rPr>
      </w:pPr>
      <w:r>
        <w:t xml:space="preserve">H1: </w:t>
      </w:r>
      <w:r w:rsidR="007201B5">
        <w:t xml:space="preserve">t-test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201B5">
        <w:rPr>
          <w:rFonts w:eastAsiaTheme="minorEastAsia"/>
        </w:rPr>
        <w:t>. H</w:t>
      </w:r>
      <w:r w:rsidR="004759B6">
        <w:rPr>
          <w:rFonts w:eastAsiaTheme="minorEastAsia"/>
        </w:rPr>
        <w:t xml:space="preserve">1 is validated if </w:t>
      </w:r>
      <w:r w:rsidR="00A93E1F">
        <w:rPr>
          <w:rFonts w:eastAsiaTheme="minorEastAsia"/>
        </w:rPr>
        <w:t xml:space="preserve">exists a </w:t>
      </w:r>
      <m:oMath>
        <m:r>
          <w:rPr>
            <w:rFonts w:ascii="Cambria Math" w:eastAsiaTheme="minorEastAsia" w:hAnsi="Cambria Math"/>
          </w:rPr>
          <m:t>k</m:t>
        </m:r>
      </m:oMath>
      <w:r w:rsidR="004759B6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A93E1F">
        <w:rPr>
          <w:rFonts w:eastAsiaTheme="minorEastAsia"/>
        </w:rPr>
        <w:t>.</w:t>
      </w:r>
    </w:p>
    <w:p w14:paraId="423B8299" w14:textId="22F9A1FF" w:rsidR="00A93E1F" w:rsidRDefault="00A93E1F" w:rsidP="00077FFA">
      <w:pPr>
        <w:rPr>
          <w:rFonts w:eastAsiaTheme="minorEastAsia"/>
        </w:rPr>
      </w:pPr>
      <w:r>
        <w:rPr>
          <w:rFonts w:eastAsiaTheme="minorEastAsia"/>
        </w:rPr>
        <w:t xml:space="preserve">H2: </w:t>
      </w:r>
      <w:r w:rsidRPr="00A93E1F">
        <w:rPr>
          <w:rFonts w:eastAsiaTheme="minorEastAsia"/>
        </w:rPr>
        <w:t>Kolmogorov-Smirnov</w:t>
      </w:r>
      <w:r>
        <w:rPr>
          <w:rFonts w:eastAsiaTheme="minorEastAsia"/>
        </w:rPr>
        <w:t xml:space="preserve"> (KS) test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posterior distribution. H2 is validated if </w:t>
      </w:r>
      <w:r w:rsidR="005726D9">
        <w:rPr>
          <w:rFonts w:eastAsiaTheme="minorEastAsia"/>
        </w:rPr>
        <w:t xml:space="preserve">the </w:t>
      </w:r>
      <w:r w:rsidR="00177101">
        <w:rPr>
          <w:rFonts w:eastAsiaTheme="minorEastAsia"/>
        </w:rPr>
        <w:t>distribution</w:t>
      </w:r>
      <w:r w:rsidR="005726D9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26D9">
        <w:rPr>
          <w:rFonts w:eastAsiaTheme="minorEastAsia"/>
        </w:rPr>
        <w:t xml:space="preserve"> obtained with Eye-Link data is not</w:t>
      </w:r>
      <w:r w:rsidR="00177101">
        <w:rPr>
          <w:rFonts w:eastAsiaTheme="minorEastAsia"/>
        </w:rPr>
        <w:t xml:space="preserve"> significantly different</w:t>
      </w:r>
      <w:r w:rsidR="005726D9">
        <w:rPr>
          <w:rFonts w:eastAsiaTheme="minorEastAsia"/>
        </w:rPr>
        <w:t xml:space="preserve"> to the one obtained with Web Gazer data,</w:t>
      </w:r>
      <w:r w:rsidR="00177101">
        <w:rPr>
          <w:rFonts w:eastAsiaTheme="minorEastAsia"/>
        </w:rPr>
        <w:t xml:space="preserve"> according to the KS test.</w:t>
      </w:r>
    </w:p>
    <w:p w14:paraId="27C8D018" w14:textId="6746D055" w:rsidR="00177101" w:rsidRDefault="00177101" w:rsidP="00077FFA">
      <w:pPr>
        <w:rPr>
          <w:rFonts w:eastAsiaTheme="minorEastAsia"/>
        </w:rPr>
      </w:pPr>
      <w:r>
        <w:rPr>
          <w:rFonts w:eastAsiaTheme="minorEastAsia"/>
        </w:rPr>
        <w:t xml:space="preserve">H3: </w:t>
      </w:r>
      <w:r w:rsidRPr="00A93E1F">
        <w:rPr>
          <w:rFonts w:eastAsiaTheme="minorEastAsia"/>
        </w:rPr>
        <w:t>Kolmogorov-Smirnov</w:t>
      </w:r>
      <w:r>
        <w:rPr>
          <w:rFonts w:eastAsiaTheme="minorEastAsia"/>
        </w:rPr>
        <w:t xml:space="preserve"> (KS) test of </w:t>
      </w:r>
      <w:r w:rsidR="00D7658E">
        <w:rPr>
          <w:rFonts w:eastAsiaTheme="minorEastAsia"/>
        </w:rPr>
        <w:t xml:space="preserve">distributions of </w:t>
      </w:r>
      <w:r>
        <w:rPr>
          <w:rFonts w:eastAsiaTheme="minorEastAsia"/>
        </w:rPr>
        <w:t>Subjective Value of Travel Time Savings (</w:t>
      </w:r>
      <w:r w:rsidR="00D7658E">
        <w:rPr>
          <w:rFonts w:eastAsiaTheme="minorEastAsia"/>
        </w:rPr>
        <w:t>SVTTS) in the case of experiment 1, and WTP for pizza quality in the second experiment.</w:t>
      </w:r>
      <w:r w:rsidR="00AC169D">
        <w:rPr>
          <w:rFonts w:eastAsiaTheme="minorEastAsia"/>
        </w:rPr>
        <w:t xml:space="preserve"> Eye-Link and Web-Gazer distributions should be the same.</w:t>
      </w:r>
    </w:p>
    <w:p w14:paraId="4EA4A9B9" w14:textId="77777777" w:rsidR="00AC169D" w:rsidRDefault="00AC169D" w:rsidP="00077FFA">
      <w:pPr>
        <w:rPr>
          <w:rFonts w:eastAsiaTheme="minorEastAsia"/>
        </w:rPr>
      </w:pPr>
    </w:p>
    <w:p w14:paraId="51DFB2FC" w14:textId="69D560B4" w:rsidR="00AC169D" w:rsidRPr="00FA3BBC" w:rsidRDefault="00AC169D" w:rsidP="00077FFA">
      <w:pPr>
        <w:rPr>
          <w:b/>
          <w:bCs/>
        </w:rPr>
      </w:pPr>
      <w:r w:rsidRPr="00FA3BBC">
        <w:rPr>
          <w:b/>
          <w:bCs/>
        </w:rPr>
        <w:t>Preliminary conclusions:</w:t>
      </w:r>
    </w:p>
    <w:p w14:paraId="654A3168" w14:textId="213FDA3D" w:rsidR="00AC169D" w:rsidRPr="00077FFA" w:rsidRDefault="00FA3BBC" w:rsidP="00FA3BBC">
      <w:r w:rsidRPr="00FA3BBC">
        <w:t>Web-Gazer accuracy is sensitive to stimulus size and screen size. It is more accurate with small DCE and larger screen size.</w:t>
      </w:r>
    </w:p>
    <w:sectPr w:rsidR="00AC169D" w:rsidRPr="0007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C6"/>
    <w:rsid w:val="00077FFA"/>
    <w:rsid w:val="000A70BD"/>
    <w:rsid w:val="000B57E8"/>
    <w:rsid w:val="001029C6"/>
    <w:rsid w:val="00177101"/>
    <w:rsid w:val="001B1A69"/>
    <w:rsid w:val="004759B6"/>
    <w:rsid w:val="004931D2"/>
    <w:rsid w:val="004D3B5D"/>
    <w:rsid w:val="005726D9"/>
    <w:rsid w:val="006134AA"/>
    <w:rsid w:val="006E3D5C"/>
    <w:rsid w:val="007201B5"/>
    <w:rsid w:val="00763E37"/>
    <w:rsid w:val="00833427"/>
    <w:rsid w:val="00A5258A"/>
    <w:rsid w:val="00A93E1F"/>
    <w:rsid w:val="00AC169D"/>
    <w:rsid w:val="00BA23D4"/>
    <w:rsid w:val="00C43B2D"/>
    <w:rsid w:val="00C57842"/>
    <w:rsid w:val="00C90C5C"/>
    <w:rsid w:val="00CD4A7E"/>
    <w:rsid w:val="00D7658E"/>
    <w:rsid w:val="00F71C2E"/>
    <w:rsid w:val="00F8566D"/>
    <w:rsid w:val="00FA3BBC"/>
    <w:rsid w:val="00FF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554F"/>
  <w15:chartTrackingRefBased/>
  <w15:docId w15:val="{25F2AE6E-723E-4CED-A546-091AB554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9C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4A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33427"/>
    <w:rPr>
      <w:color w:val="666666"/>
    </w:rPr>
  </w:style>
  <w:style w:type="table" w:styleId="TableGrid">
    <w:name w:val="Table Grid"/>
    <w:basedOn w:val="TableNormal"/>
    <w:uiPriority w:val="39"/>
    <w:rsid w:val="0007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Henriquez Jara</dc:creator>
  <cp:keywords/>
  <dc:description/>
  <cp:lastModifiedBy>Bastian Henriquez Jara</cp:lastModifiedBy>
  <cp:revision>13</cp:revision>
  <cp:lastPrinted>2025-01-28T22:00:00Z</cp:lastPrinted>
  <dcterms:created xsi:type="dcterms:W3CDTF">2025-01-28T16:58:00Z</dcterms:created>
  <dcterms:modified xsi:type="dcterms:W3CDTF">2025-01-28T22:00:00Z</dcterms:modified>
</cp:coreProperties>
</file>