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02/09/2024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Plataforma Microsoft Teams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Alejandro Peña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Bastian Muñoz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Aceptación de las funcionalidades de sprint 1</w:t>
            </w:r>
          </w:p>
        </w:tc>
      </w:tr>
    </w:tbl>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32">
            <w:pPr>
              <w:widowControl w:val="0"/>
              <w:ind w:left="0" w:firstLine="0"/>
              <w:jc w:val="both"/>
              <w:rPr>
                <w:b w:val="1"/>
                <w:sz w:val="22"/>
                <w:szCs w:val="22"/>
              </w:rPr>
            </w:pPr>
            <w:r w:rsidDel="00000000" w:rsidR="00000000" w:rsidRPr="00000000">
              <w:rPr>
                <w:sz w:val="22"/>
                <w:szCs w:val="22"/>
                <w:rtl w:val="0"/>
              </w:rPr>
              <w:t xml:space="preserve">Se presentó en la reunión una versión inicial de la plataforma web, la cual contiene el apartado visual que visualizarán los usuarios finales y se incorpora el módulo de agendamiento de citas. Se destacan sutiles cambios que se le pueden realizar al módulo para hacerlo más llamativo para el usuario final, estos orientados al cómo el usuario podrá visualizar el calendario con las citas disponibles.</w:t>
            </w:r>
            <w:r w:rsidDel="00000000" w:rsidR="00000000" w:rsidRPr="00000000">
              <w:rPr>
                <w:rtl w:val="0"/>
              </w:rPr>
            </w:r>
          </w:p>
        </w:tc>
      </w:tr>
    </w:tbl>
    <w:p w:rsidR="00000000" w:rsidDel="00000000" w:rsidP="00000000" w:rsidRDefault="00000000" w:rsidRPr="00000000" w14:paraId="00000033">
      <w:pPr>
        <w:ind w:firstLine="708"/>
        <w:jc w:val="both"/>
        <w:rPr>
          <w:color w:val="000000"/>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9wrCmd+bE362WvPaKIm9gtN/A==">CgMxLjA4AHIhMXhsd1JsTGFzZExnd2VYR2ZWUU5JVm5iN04tLUVOUGdS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