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07/10/2023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Plataforma Microsoft 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2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2</w:t>
            </w:r>
          </w:p>
        </w:tc>
      </w:tr>
    </w:tbl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1440" w:hanging="360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QUVdE3L5BdK5tG8LmpSLeVQkSw==">CgMxLjA4AHIhMWNZSmRpRjRXa1FfcGc5di1mMWtLWHVOTTRNNWJEWjVN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