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286B" w:rsidRPr="00FE76FB" w:rsidRDefault="002769E4">
      <w:pPr>
        <w:spacing w:after="40"/>
        <w:rPr>
          <w:lang w:val="es-CL"/>
        </w:rPr>
      </w:pPr>
      <w:r w:rsidRPr="00FE76FB">
        <w:rPr>
          <w:b/>
          <w:bCs/>
          <w:color w:val="2E74B5"/>
          <w:lang w:val="es-CL"/>
        </w:rPr>
        <w:t>Documento de Diseño · Fase 2</w:t>
      </w:r>
    </w:p>
    <w:p w:rsidR="00A3286B" w:rsidRPr="00FE76FB" w:rsidRDefault="002769E4">
      <w:pPr>
        <w:spacing w:after="60"/>
        <w:rPr>
          <w:lang w:val="es-CL"/>
        </w:rPr>
      </w:pPr>
      <w:r w:rsidRPr="00FE76FB">
        <w:rPr>
          <w:b/>
          <w:bCs/>
          <w:color w:val="1F3864"/>
          <w:sz w:val="40"/>
          <w:szCs w:val="40"/>
          <w:lang w:val="es-CL"/>
        </w:rPr>
        <w:t>Arquitectura — AuraPet</w:t>
      </w:r>
    </w:p>
    <w:p w:rsidR="00A3286B" w:rsidRPr="00FE76FB" w:rsidRDefault="002769E4">
      <w:pPr>
        <w:pStyle w:val="Ttulo1"/>
        <w:keepNext/>
        <w:pBdr>
          <w:bottom w:val="single" w:sz="6" w:space="4" w:color="2E74B5"/>
        </w:pBdr>
        <w:spacing w:before="280" w:after="120"/>
        <w:rPr>
          <w:lang w:val="es-CL"/>
        </w:rPr>
      </w:pPr>
      <w:r w:rsidRPr="00FE76FB">
        <w:rPr>
          <w:b/>
          <w:bCs/>
          <w:color w:val="1F3864"/>
          <w:sz w:val="26"/>
          <w:szCs w:val="26"/>
          <w:lang w:val="es-CL"/>
        </w:rPr>
        <w:t>1. Estilo arquitectónico</w:t>
      </w:r>
    </w:p>
    <w:p w:rsidR="00A3286B" w:rsidRPr="00FE76FB" w:rsidRDefault="002769E4">
      <w:pPr>
        <w:spacing w:after="120"/>
        <w:jc w:val="both"/>
        <w:rPr>
          <w:lang w:val="es-CL"/>
        </w:rPr>
      </w:pPr>
      <w:r w:rsidRPr="00FE76FB">
        <w:rPr>
          <w:lang w:val="es-CL"/>
        </w:rPr>
        <w:t>AuraPet sigue una arquitectura</w:t>
      </w:r>
      <w:bookmarkStart w:id="0" w:name="_GoBack"/>
      <w:bookmarkEnd w:id="0"/>
      <w:r w:rsidRPr="00FE76FB">
        <w:rPr>
          <w:lang w:val="es-CL"/>
        </w:rPr>
        <w:t xml:space="preserve"> en tres capas, con un servicio externo adicional para la inteligencia artificial. El frontend (capa de presentación) nunca accede directamente a la base de datos: todas las operaciones sensibles pasan por un backend propio en TypeScript (capa de aplicación), que es el único que conversa con Supabase (capa de datos). La única excepción deliberada son las actualizaciones en vivo, que el frontend recibe directo de Supabase Realtime para no sobrecargar al backend con tráfico de solo lectura.</w:t>
      </w:r>
    </w:p>
    <w:p w:rsidR="00A3286B" w:rsidRPr="00FE76FB" w:rsidRDefault="002769E4">
      <w:pPr>
        <w:pStyle w:val="Ttulo1"/>
        <w:keepNext/>
        <w:pBdr>
          <w:bottom w:val="single" w:sz="6" w:space="4" w:color="2E74B5"/>
        </w:pBdr>
        <w:spacing w:before="280" w:after="120"/>
        <w:rPr>
          <w:lang w:val="es-CL"/>
        </w:rPr>
      </w:pPr>
      <w:r w:rsidRPr="00FE76FB">
        <w:rPr>
          <w:b/>
          <w:bCs/>
          <w:color w:val="1F3864"/>
          <w:sz w:val="26"/>
          <w:szCs w:val="26"/>
          <w:lang w:val="es-CL"/>
        </w:rPr>
        <w:t>2. Diagrama de arquitectura</w:t>
      </w:r>
    </w:p>
    <w:p w:rsidR="00A3286B" w:rsidRPr="00FE76FB" w:rsidRDefault="00FE76FB">
      <w:pPr>
        <w:spacing w:after="100"/>
        <w:jc w:val="center"/>
        <w:rPr>
          <w:lang w:val="es-CL"/>
        </w:rPr>
      </w:pPr>
      <w:r w:rsidRPr="00FE76FB">
        <w:rPr>
          <w:noProof/>
        </w:rPr>
        <w:drawing>
          <wp:inline distT="0" distB="0" distL="0" distR="0" wp14:anchorId="4D0040B7" wp14:editId="1DBF86D9">
            <wp:extent cx="6375400" cy="3936365"/>
            <wp:effectExtent l="0" t="0" r="6350" b="698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iagrama.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375400" cy="3936365"/>
                    </a:xfrm>
                    <a:prstGeom prst="rect">
                      <a:avLst/>
                    </a:prstGeom>
                  </pic:spPr>
                </pic:pic>
              </a:graphicData>
            </a:graphic>
          </wp:inline>
        </w:drawing>
      </w:r>
    </w:p>
    <w:p w:rsidR="00A3286B" w:rsidRPr="00FE76FB" w:rsidRDefault="002769E4">
      <w:pPr>
        <w:pStyle w:val="Ttulo1"/>
        <w:keepNext/>
        <w:pBdr>
          <w:bottom w:val="single" w:sz="6" w:space="4" w:color="2E74B5"/>
        </w:pBdr>
        <w:spacing w:before="280" w:after="120"/>
        <w:rPr>
          <w:lang w:val="es-CL"/>
        </w:rPr>
      </w:pPr>
      <w:r w:rsidRPr="00FE76FB">
        <w:rPr>
          <w:b/>
          <w:bCs/>
          <w:color w:val="1F3864"/>
          <w:sz w:val="26"/>
          <w:szCs w:val="26"/>
          <w:lang w:val="es-CL"/>
        </w:rPr>
        <w:t>3. Componentes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5750"/>
      </w:tblGrid>
      <w:tr w:rsidR="00A3286B" w:rsidRPr="00FE76FB">
        <w:trPr>
          <w:cantSplit/>
          <w:tblHeader/>
        </w:trPr>
        <w:tc>
          <w:tcPr>
            <w:tcW w:w="1800" w:type="dxa"/>
            <w:tcBorders>
              <w:top w:val="single" w:sz="4" w:space="0" w:color="8C8C8C"/>
              <w:left w:val="single" w:sz="4" w:space="0" w:color="8C8C8C"/>
              <w:bottom w:val="single" w:sz="4" w:space="0" w:color="8C8C8C"/>
              <w:right w:val="single" w:sz="4" w:space="0" w:color="8C8C8C"/>
            </w:tcBorders>
            <w:shd w:val="clear" w:color="auto" w:fill="EDF2FB"/>
            <w:tcMar>
              <w:top w:w="100" w:type="dxa"/>
              <w:left w:w="120" w:type="dxa"/>
              <w:bottom w:w="100" w:type="dxa"/>
              <w:right w:w="120" w:type="dxa"/>
            </w:tcMar>
            <w:vAlign w:val="center"/>
          </w:tcPr>
          <w:p w:rsidR="00A3286B" w:rsidRPr="00FE76FB" w:rsidRDefault="002769E4">
            <w:pPr>
              <w:rPr>
                <w:lang w:val="es-CL"/>
              </w:rPr>
            </w:pPr>
            <w:r w:rsidRPr="00FE76FB">
              <w:rPr>
                <w:b/>
                <w:bCs/>
                <w:color w:val="1F3864"/>
                <w:lang w:val="es-CL"/>
              </w:rPr>
              <w:t>Componente</w:t>
            </w:r>
          </w:p>
        </w:tc>
        <w:tc>
          <w:tcPr>
            <w:tcW w:w="1800" w:type="dxa"/>
            <w:tcBorders>
              <w:top w:val="single" w:sz="4" w:space="0" w:color="8C8C8C"/>
              <w:left w:val="single" w:sz="4" w:space="0" w:color="8C8C8C"/>
              <w:bottom w:val="single" w:sz="4" w:space="0" w:color="8C8C8C"/>
              <w:right w:val="single" w:sz="4" w:space="0" w:color="8C8C8C"/>
            </w:tcBorders>
            <w:shd w:val="clear" w:color="auto" w:fill="EDF2FB"/>
            <w:tcMar>
              <w:top w:w="100" w:type="dxa"/>
              <w:left w:w="120" w:type="dxa"/>
              <w:bottom w:w="100" w:type="dxa"/>
              <w:right w:w="120" w:type="dxa"/>
            </w:tcMar>
            <w:vAlign w:val="center"/>
          </w:tcPr>
          <w:p w:rsidR="00A3286B" w:rsidRPr="00FE76FB" w:rsidRDefault="002769E4">
            <w:pPr>
              <w:rPr>
                <w:lang w:val="es-CL"/>
              </w:rPr>
            </w:pPr>
            <w:r w:rsidRPr="00FE76FB">
              <w:rPr>
                <w:b/>
                <w:bCs/>
                <w:color w:val="1F3864"/>
                <w:lang w:val="es-CL"/>
              </w:rPr>
              <w:t>Tecnología</w:t>
            </w:r>
          </w:p>
        </w:tc>
        <w:tc>
          <w:tcPr>
            <w:tcW w:w="5750" w:type="dxa"/>
            <w:tcBorders>
              <w:top w:val="single" w:sz="4" w:space="0" w:color="8C8C8C"/>
              <w:left w:val="single" w:sz="4" w:space="0" w:color="8C8C8C"/>
              <w:bottom w:val="single" w:sz="4" w:space="0" w:color="8C8C8C"/>
              <w:right w:val="single" w:sz="4" w:space="0" w:color="8C8C8C"/>
            </w:tcBorders>
            <w:shd w:val="clear" w:color="auto" w:fill="EDF2FB"/>
            <w:tcMar>
              <w:top w:w="100" w:type="dxa"/>
              <w:left w:w="120" w:type="dxa"/>
              <w:bottom w:w="100" w:type="dxa"/>
              <w:right w:w="120" w:type="dxa"/>
            </w:tcMar>
            <w:vAlign w:val="center"/>
          </w:tcPr>
          <w:p w:rsidR="00A3286B" w:rsidRPr="00FE76FB" w:rsidRDefault="002769E4">
            <w:pPr>
              <w:rPr>
                <w:lang w:val="es-CL"/>
              </w:rPr>
            </w:pPr>
            <w:r w:rsidRPr="00FE76FB">
              <w:rPr>
                <w:b/>
                <w:bCs/>
                <w:color w:val="1F3864"/>
                <w:lang w:val="es-CL"/>
              </w:rPr>
              <w:t>Responsabilidades</w:t>
            </w:r>
          </w:p>
        </w:tc>
      </w:tr>
      <w:tr w:rsidR="00A3286B" w:rsidRPr="00FE76FB">
        <w:trPr>
          <w:cantSplit/>
        </w:trPr>
        <w:tc>
          <w:tcPr>
            <w:tcW w:w="1800" w:type="dxa"/>
            <w:tcBorders>
              <w:top w:val="single" w:sz="4" w:space="0" w:color="8C8C8C"/>
              <w:left w:val="single" w:sz="4" w:space="0" w:color="8C8C8C"/>
              <w:bottom w:val="single" w:sz="4" w:space="0" w:color="8C8C8C"/>
              <w:right w:val="single" w:sz="4" w:space="0" w:color="8C8C8C"/>
            </w:tcBorders>
            <w:tcMar>
              <w:top w:w="100" w:type="dxa"/>
              <w:left w:w="120" w:type="dxa"/>
              <w:bottom w:w="100" w:type="dxa"/>
              <w:right w:w="120" w:type="dxa"/>
            </w:tcMar>
            <w:vAlign w:val="center"/>
          </w:tcPr>
          <w:p w:rsidR="00A3286B" w:rsidRPr="00FE76FB" w:rsidRDefault="002769E4">
            <w:pPr>
              <w:rPr>
                <w:lang w:val="es-CL"/>
              </w:rPr>
            </w:pPr>
            <w:r w:rsidRPr="00FE76FB">
              <w:rPr>
                <w:b/>
                <w:bCs/>
                <w:lang w:val="es-CL"/>
              </w:rPr>
              <w:t>Frontend web</w:t>
            </w:r>
          </w:p>
        </w:tc>
        <w:tc>
          <w:tcPr>
            <w:tcW w:w="1800" w:type="dxa"/>
            <w:tcBorders>
              <w:top w:val="single" w:sz="4" w:space="0" w:color="8C8C8C"/>
              <w:left w:val="single" w:sz="4" w:space="0" w:color="8C8C8C"/>
              <w:bottom w:val="single" w:sz="4" w:space="0" w:color="8C8C8C"/>
              <w:right w:val="single" w:sz="4" w:space="0" w:color="8C8C8C"/>
            </w:tcBorders>
            <w:tcMar>
              <w:top w:w="100" w:type="dxa"/>
              <w:left w:w="120" w:type="dxa"/>
              <w:bottom w:w="100" w:type="dxa"/>
              <w:right w:w="120" w:type="dxa"/>
            </w:tcMar>
            <w:vAlign w:val="center"/>
          </w:tcPr>
          <w:p w:rsidR="00A3286B" w:rsidRPr="00FE76FB" w:rsidRDefault="0032545D">
            <w:pPr>
              <w:rPr>
                <w:lang w:val="es-CL"/>
              </w:rPr>
            </w:pPr>
            <w:r>
              <w:rPr>
                <w:lang w:val="es-CL"/>
              </w:rPr>
              <w:t xml:space="preserve">React </w:t>
            </w:r>
          </w:p>
        </w:tc>
        <w:tc>
          <w:tcPr>
            <w:tcW w:w="5750" w:type="dxa"/>
            <w:tcBorders>
              <w:top w:val="single" w:sz="4" w:space="0" w:color="8C8C8C"/>
              <w:left w:val="single" w:sz="4" w:space="0" w:color="8C8C8C"/>
              <w:bottom w:val="single" w:sz="4" w:space="0" w:color="8C8C8C"/>
              <w:right w:val="single" w:sz="4" w:space="0" w:color="8C8C8C"/>
            </w:tcBorders>
            <w:tcMar>
              <w:top w:w="100" w:type="dxa"/>
              <w:left w:w="120" w:type="dxa"/>
              <w:bottom w:w="100" w:type="dxa"/>
              <w:right w:w="120" w:type="dxa"/>
            </w:tcMar>
            <w:vAlign w:val="center"/>
          </w:tcPr>
          <w:p w:rsidR="00A3286B" w:rsidRPr="00FE76FB" w:rsidRDefault="002769E4">
            <w:pPr>
              <w:jc w:val="both"/>
              <w:rPr>
                <w:lang w:val="es-CL"/>
              </w:rPr>
            </w:pPr>
            <w:r w:rsidRPr="00FE76FB">
              <w:rPr>
                <w:lang w:val="es-CL"/>
              </w:rPr>
              <w:t>Interfaz para los cuatro tipos de usuario; guarda el JWT de la sesión y lo adjunta en cada petición; se suscribe a Supabase Realtime para citas y notificaciones.</w:t>
            </w:r>
          </w:p>
        </w:tc>
      </w:tr>
      <w:tr w:rsidR="00A3286B" w:rsidRPr="00FE76FB">
        <w:trPr>
          <w:cantSplit/>
        </w:trPr>
        <w:tc>
          <w:tcPr>
            <w:tcW w:w="1800" w:type="dxa"/>
            <w:tcBorders>
              <w:top w:val="single" w:sz="4" w:space="0" w:color="8C8C8C"/>
              <w:left w:val="single" w:sz="4" w:space="0" w:color="8C8C8C"/>
              <w:bottom w:val="single" w:sz="4" w:space="0" w:color="8C8C8C"/>
              <w:right w:val="single" w:sz="4" w:space="0" w:color="8C8C8C"/>
            </w:tcBorders>
            <w:tcMar>
              <w:top w:w="100" w:type="dxa"/>
              <w:left w:w="120" w:type="dxa"/>
              <w:bottom w:w="100" w:type="dxa"/>
              <w:right w:w="120" w:type="dxa"/>
            </w:tcMar>
            <w:vAlign w:val="center"/>
          </w:tcPr>
          <w:p w:rsidR="00A3286B" w:rsidRPr="00FE76FB" w:rsidRDefault="002769E4">
            <w:pPr>
              <w:rPr>
                <w:lang w:val="es-CL"/>
              </w:rPr>
            </w:pPr>
            <w:r w:rsidRPr="00FE76FB">
              <w:rPr>
                <w:b/>
                <w:bCs/>
                <w:lang w:val="es-CL"/>
              </w:rPr>
              <w:t>Backend API</w:t>
            </w:r>
          </w:p>
        </w:tc>
        <w:tc>
          <w:tcPr>
            <w:tcW w:w="1800" w:type="dxa"/>
            <w:tcBorders>
              <w:top w:val="single" w:sz="4" w:space="0" w:color="8C8C8C"/>
              <w:left w:val="single" w:sz="4" w:space="0" w:color="8C8C8C"/>
              <w:bottom w:val="single" w:sz="4" w:space="0" w:color="8C8C8C"/>
              <w:right w:val="single" w:sz="4" w:space="0" w:color="8C8C8C"/>
            </w:tcBorders>
            <w:tcMar>
              <w:top w:w="100" w:type="dxa"/>
              <w:left w:w="120" w:type="dxa"/>
              <w:bottom w:w="100" w:type="dxa"/>
              <w:right w:w="120" w:type="dxa"/>
            </w:tcMar>
            <w:vAlign w:val="center"/>
          </w:tcPr>
          <w:p w:rsidR="00A3286B" w:rsidRPr="00FE76FB" w:rsidRDefault="004A1EB7">
            <w:pPr>
              <w:rPr>
                <w:lang w:val="es-CL"/>
              </w:rPr>
            </w:pPr>
            <w:r>
              <w:rPr>
                <w:lang w:val="es-CL"/>
              </w:rPr>
              <w:t xml:space="preserve">TypeScript </w:t>
            </w:r>
          </w:p>
        </w:tc>
        <w:tc>
          <w:tcPr>
            <w:tcW w:w="5750" w:type="dxa"/>
            <w:tcBorders>
              <w:top w:val="single" w:sz="4" w:space="0" w:color="8C8C8C"/>
              <w:left w:val="single" w:sz="4" w:space="0" w:color="8C8C8C"/>
              <w:bottom w:val="single" w:sz="4" w:space="0" w:color="8C8C8C"/>
              <w:right w:val="single" w:sz="4" w:space="0" w:color="8C8C8C"/>
            </w:tcBorders>
            <w:tcMar>
              <w:top w:w="100" w:type="dxa"/>
              <w:left w:w="120" w:type="dxa"/>
              <w:bottom w:w="100" w:type="dxa"/>
              <w:right w:w="120" w:type="dxa"/>
            </w:tcMar>
            <w:vAlign w:val="center"/>
          </w:tcPr>
          <w:p w:rsidR="00A3286B" w:rsidRPr="00FE76FB" w:rsidRDefault="002769E4">
            <w:pPr>
              <w:jc w:val="both"/>
              <w:rPr>
                <w:lang w:val="es-CL"/>
              </w:rPr>
            </w:pPr>
            <w:r w:rsidRPr="00FE76FB">
              <w:rPr>
                <w:lang w:val="es-CL"/>
              </w:rPr>
              <w:t>Valida el JWT y los permisos de cada usuario; aplica las reglas de negocio (disponibilidad, estados de cita); orquesta la llamada al servicio de IA y guarda su resultado.</w:t>
            </w:r>
          </w:p>
        </w:tc>
      </w:tr>
      <w:tr w:rsidR="00A3286B" w:rsidRPr="00FE76FB">
        <w:trPr>
          <w:cantSplit/>
        </w:trPr>
        <w:tc>
          <w:tcPr>
            <w:tcW w:w="1800" w:type="dxa"/>
            <w:tcBorders>
              <w:top w:val="single" w:sz="4" w:space="0" w:color="8C8C8C"/>
              <w:left w:val="single" w:sz="4" w:space="0" w:color="8C8C8C"/>
              <w:bottom w:val="single" w:sz="4" w:space="0" w:color="8C8C8C"/>
              <w:right w:val="single" w:sz="4" w:space="0" w:color="8C8C8C"/>
            </w:tcBorders>
            <w:tcMar>
              <w:top w:w="100" w:type="dxa"/>
              <w:left w:w="120" w:type="dxa"/>
              <w:bottom w:w="100" w:type="dxa"/>
              <w:right w:w="120" w:type="dxa"/>
            </w:tcMar>
            <w:vAlign w:val="center"/>
          </w:tcPr>
          <w:p w:rsidR="00A3286B" w:rsidRPr="00FE76FB" w:rsidRDefault="002769E4">
            <w:pPr>
              <w:rPr>
                <w:lang w:val="es-CL"/>
              </w:rPr>
            </w:pPr>
            <w:r w:rsidRPr="00FE76FB">
              <w:rPr>
                <w:b/>
                <w:bCs/>
                <w:lang w:val="es-CL"/>
              </w:rPr>
              <w:lastRenderedPageBreak/>
              <w:t>Supabase</w:t>
            </w:r>
          </w:p>
        </w:tc>
        <w:tc>
          <w:tcPr>
            <w:tcW w:w="1800" w:type="dxa"/>
            <w:tcBorders>
              <w:top w:val="single" w:sz="4" w:space="0" w:color="8C8C8C"/>
              <w:left w:val="single" w:sz="4" w:space="0" w:color="8C8C8C"/>
              <w:bottom w:val="single" w:sz="4" w:space="0" w:color="8C8C8C"/>
              <w:right w:val="single" w:sz="4" w:space="0" w:color="8C8C8C"/>
            </w:tcBorders>
            <w:tcMar>
              <w:top w:w="100" w:type="dxa"/>
              <w:left w:w="120" w:type="dxa"/>
              <w:bottom w:w="100" w:type="dxa"/>
              <w:right w:w="120" w:type="dxa"/>
            </w:tcMar>
            <w:vAlign w:val="center"/>
          </w:tcPr>
          <w:p w:rsidR="00A3286B" w:rsidRPr="00FE76FB" w:rsidRDefault="002769E4">
            <w:pPr>
              <w:rPr>
                <w:lang w:val="es-CL"/>
              </w:rPr>
            </w:pPr>
            <w:r w:rsidRPr="00FE76FB">
              <w:rPr>
                <w:lang w:val="es-CL"/>
              </w:rPr>
              <w:t>PostgreSQL · Auth · Realtime</w:t>
            </w:r>
          </w:p>
        </w:tc>
        <w:tc>
          <w:tcPr>
            <w:tcW w:w="5750" w:type="dxa"/>
            <w:tcBorders>
              <w:top w:val="single" w:sz="4" w:space="0" w:color="8C8C8C"/>
              <w:left w:val="single" w:sz="4" w:space="0" w:color="8C8C8C"/>
              <w:bottom w:val="single" w:sz="4" w:space="0" w:color="8C8C8C"/>
              <w:right w:val="single" w:sz="4" w:space="0" w:color="8C8C8C"/>
            </w:tcBorders>
            <w:tcMar>
              <w:top w:w="100" w:type="dxa"/>
              <w:left w:w="120" w:type="dxa"/>
              <w:bottom w:w="100" w:type="dxa"/>
              <w:right w:w="120" w:type="dxa"/>
            </w:tcMar>
            <w:vAlign w:val="center"/>
          </w:tcPr>
          <w:p w:rsidR="00A3286B" w:rsidRPr="00FE76FB" w:rsidRDefault="002769E4">
            <w:pPr>
              <w:jc w:val="both"/>
              <w:rPr>
                <w:lang w:val="es-CL"/>
              </w:rPr>
            </w:pPr>
            <w:r w:rsidRPr="00FE76FB">
              <w:rPr>
                <w:lang w:val="es-CL"/>
              </w:rPr>
              <w:t>Almacena usuarios, mascotas, citas, historial clínico y adopciones; emite el JWT al iniciar sesión; publica los cambios en vivo a los clientes suscritos.</w:t>
            </w:r>
          </w:p>
        </w:tc>
      </w:tr>
      <w:tr w:rsidR="00A3286B" w:rsidRPr="00FE76FB">
        <w:trPr>
          <w:cantSplit/>
        </w:trPr>
        <w:tc>
          <w:tcPr>
            <w:tcW w:w="1800" w:type="dxa"/>
            <w:tcBorders>
              <w:top w:val="single" w:sz="4" w:space="0" w:color="8C8C8C"/>
              <w:left w:val="single" w:sz="4" w:space="0" w:color="8C8C8C"/>
              <w:bottom w:val="single" w:sz="4" w:space="0" w:color="8C8C8C"/>
              <w:right w:val="single" w:sz="4" w:space="0" w:color="8C8C8C"/>
            </w:tcBorders>
            <w:tcMar>
              <w:top w:w="100" w:type="dxa"/>
              <w:left w:w="120" w:type="dxa"/>
              <w:bottom w:w="100" w:type="dxa"/>
              <w:right w:w="120" w:type="dxa"/>
            </w:tcMar>
            <w:vAlign w:val="center"/>
          </w:tcPr>
          <w:p w:rsidR="00A3286B" w:rsidRPr="00FE76FB" w:rsidRDefault="002769E4">
            <w:pPr>
              <w:rPr>
                <w:lang w:val="es-CL"/>
              </w:rPr>
            </w:pPr>
            <w:r w:rsidRPr="00FE76FB">
              <w:rPr>
                <w:b/>
                <w:bCs/>
                <w:lang w:val="es-CL"/>
              </w:rPr>
              <w:t>Servicio de IA</w:t>
            </w:r>
          </w:p>
        </w:tc>
        <w:tc>
          <w:tcPr>
            <w:tcW w:w="1800" w:type="dxa"/>
            <w:tcBorders>
              <w:top w:val="single" w:sz="4" w:space="0" w:color="8C8C8C"/>
              <w:left w:val="single" w:sz="4" w:space="0" w:color="8C8C8C"/>
              <w:bottom w:val="single" w:sz="4" w:space="0" w:color="8C8C8C"/>
              <w:right w:val="single" w:sz="4" w:space="0" w:color="8C8C8C"/>
            </w:tcBorders>
            <w:tcMar>
              <w:top w:w="100" w:type="dxa"/>
              <w:left w:w="120" w:type="dxa"/>
              <w:bottom w:w="100" w:type="dxa"/>
              <w:right w:w="120" w:type="dxa"/>
            </w:tcMar>
            <w:vAlign w:val="center"/>
          </w:tcPr>
          <w:p w:rsidR="00A3286B" w:rsidRPr="00FE76FB" w:rsidRDefault="004A1EB7">
            <w:pPr>
              <w:rPr>
                <w:lang w:val="es-CL"/>
              </w:rPr>
            </w:pPr>
            <w:r>
              <w:rPr>
                <w:lang w:val="es-CL"/>
              </w:rPr>
              <w:t>API externa</w:t>
            </w:r>
          </w:p>
        </w:tc>
        <w:tc>
          <w:tcPr>
            <w:tcW w:w="5750" w:type="dxa"/>
            <w:tcBorders>
              <w:top w:val="single" w:sz="4" w:space="0" w:color="8C8C8C"/>
              <w:left w:val="single" w:sz="4" w:space="0" w:color="8C8C8C"/>
              <w:bottom w:val="single" w:sz="4" w:space="0" w:color="8C8C8C"/>
              <w:right w:val="single" w:sz="4" w:space="0" w:color="8C8C8C"/>
            </w:tcBorders>
            <w:tcMar>
              <w:top w:w="100" w:type="dxa"/>
              <w:left w:w="120" w:type="dxa"/>
              <w:bottom w:w="100" w:type="dxa"/>
              <w:right w:w="120" w:type="dxa"/>
            </w:tcMar>
            <w:vAlign w:val="center"/>
          </w:tcPr>
          <w:p w:rsidR="00A3286B" w:rsidRPr="00FE76FB" w:rsidRDefault="002769E4">
            <w:pPr>
              <w:jc w:val="both"/>
              <w:rPr>
                <w:lang w:val="es-CL"/>
              </w:rPr>
            </w:pPr>
            <w:r w:rsidRPr="00FE76FB">
              <w:rPr>
                <w:lang w:val="es-CL"/>
              </w:rPr>
              <w:t>Recibe el perfil de cada mascota en adopción (personalidad, energía, tamaño) y las preferencias del adoptante; devuelve las mascotas más compatibles; está desacoplado del backend, por lo que se puede cambiar de proveedor sin afectar el resto del sistema.</w:t>
            </w:r>
          </w:p>
        </w:tc>
      </w:tr>
    </w:tbl>
    <w:p w:rsidR="00A3286B" w:rsidRPr="00FE76FB" w:rsidRDefault="00A3286B">
      <w:pPr>
        <w:spacing w:after="200"/>
        <w:rPr>
          <w:lang w:val="es-CL"/>
        </w:rPr>
      </w:pPr>
    </w:p>
    <w:sectPr w:rsidR="00A3286B" w:rsidRPr="00FE76FB">
      <w:footerReference w:type="default" r:id="rId8"/>
      <w:pgSz w:w="12240" w:h="15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B7ED7" w:rsidRDefault="000B7ED7">
      <w:r>
        <w:separator/>
      </w:r>
    </w:p>
  </w:endnote>
  <w:endnote w:type="continuationSeparator" w:id="0">
    <w:p w:rsidR="000B7ED7" w:rsidRDefault="000B7E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286B" w:rsidRDefault="002769E4">
    <w:pPr>
      <w:jc w:val="center"/>
    </w:pPr>
    <w:r>
      <w:rPr>
        <w:color w:val="595959"/>
        <w:sz w:val="18"/>
        <w:szCs w:val="18"/>
      </w:rPr>
      <w:t xml:space="preserve">Página </w:t>
    </w:r>
    <w:r>
      <w:rPr>
        <w:color w:val="595959"/>
        <w:sz w:val="18"/>
        <w:szCs w:val="18"/>
      </w:rPr>
      <w:fldChar w:fldCharType="begin"/>
    </w:r>
    <w:r>
      <w:rPr>
        <w:color w:val="595959"/>
        <w:sz w:val="18"/>
        <w:szCs w:val="18"/>
      </w:rPr>
      <w:instrText>PAGE</w:instrText>
    </w:r>
    <w:r>
      <w:rPr>
        <w:color w:val="595959"/>
        <w:sz w:val="18"/>
        <w:szCs w:val="18"/>
      </w:rPr>
      <w:fldChar w:fldCharType="separate"/>
    </w:r>
    <w:r w:rsidR="002F355E">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B7ED7" w:rsidRDefault="000B7ED7">
      <w:r>
        <w:separator/>
      </w:r>
    </w:p>
  </w:footnote>
  <w:footnote w:type="continuationSeparator" w:id="0">
    <w:p w:rsidR="000B7ED7" w:rsidRDefault="000B7ED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B263E8"/>
    <w:multiLevelType w:val="hybridMultilevel"/>
    <w:tmpl w:val="15A60522"/>
    <w:lvl w:ilvl="0" w:tplc="2DFA17DA">
      <w:start w:val="1"/>
      <w:numFmt w:val="bullet"/>
      <w:lvlText w:val="•"/>
      <w:lvlJc w:val="left"/>
      <w:pPr>
        <w:ind w:left="500" w:hanging="260"/>
      </w:pPr>
    </w:lvl>
    <w:lvl w:ilvl="1" w:tplc="691CE648">
      <w:numFmt w:val="decimal"/>
      <w:lvlText w:val=""/>
      <w:lvlJc w:val="left"/>
    </w:lvl>
    <w:lvl w:ilvl="2" w:tplc="0EDC8D4C">
      <w:numFmt w:val="decimal"/>
      <w:lvlText w:val=""/>
      <w:lvlJc w:val="left"/>
    </w:lvl>
    <w:lvl w:ilvl="3" w:tplc="445615F8">
      <w:numFmt w:val="decimal"/>
      <w:lvlText w:val=""/>
      <w:lvlJc w:val="left"/>
    </w:lvl>
    <w:lvl w:ilvl="4" w:tplc="3910645E">
      <w:numFmt w:val="decimal"/>
      <w:lvlText w:val=""/>
      <w:lvlJc w:val="left"/>
    </w:lvl>
    <w:lvl w:ilvl="5" w:tplc="E9B6A614">
      <w:numFmt w:val="decimal"/>
      <w:lvlText w:val=""/>
      <w:lvlJc w:val="left"/>
    </w:lvl>
    <w:lvl w:ilvl="6" w:tplc="E094362A">
      <w:numFmt w:val="decimal"/>
      <w:lvlText w:val=""/>
      <w:lvlJc w:val="left"/>
    </w:lvl>
    <w:lvl w:ilvl="7" w:tplc="67966C44">
      <w:numFmt w:val="decimal"/>
      <w:lvlText w:val=""/>
      <w:lvlJc w:val="left"/>
    </w:lvl>
    <w:lvl w:ilvl="8" w:tplc="C6F664F4">
      <w:numFmt w:val="decimal"/>
      <w:lvlText w:val=""/>
      <w:lvlJc w:val="left"/>
    </w:lvl>
  </w:abstractNum>
  <w:abstractNum w:abstractNumId="1" w15:restartNumberingAfterBreak="0">
    <w:nsid w:val="28EF041E"/>
    <w:multiLevelType w:val="hybridMultilevel"/>
    <w:tmpl w:val="2FC64996"/>
    <w:lvl w:ilvl="0" w:tplc="5E263E1A">
      <w:start w:val="1"/>
      <w:numFmt w:val="decimal"/>
      <w:lvlText w:val="%1."/>
      <w:lvlJc w:val="left"/>
      <w:pPr>
        <w:ind w:left="500" w:hanging="260"/>
      </w:pPr>
    </w:lvl>
    <w:lvl w:ilvl="1" w:tplc="BF3AB5F4">
      <w:numFmt w:val="decimal"/>
      <w:lvlText w:val=""/>
      <w:lvlJc w:val="left"/>
    </w:lvl>
    <w:lvl w:ilvl="2" w:tplc="F1C23720">
      <w:numFmt w:val="decimal"/>
      <w:lvlText w:val=""/>
      <w:lvlJc w:val="left"/>
    </w:lvl>
    <w:lvl w:ilvl="3" w:tplc="2F84297A">
      <w:numFmt w:val="decimal"/>
      <w:lvlText w:val=""/>
      <w:lvlJc w:val="left"/>
    </w:lvl>
    <w:lvl w:ilvl="4" w:tplc="A600BFD6">
      <w:numFmt w:val="decimal"/>
      <w:lvlText w:val=""/>
      <w:lvlJc w:val="left"/>
    </w:lvl>
    <w:lvl w:ilvl="5" w:tplc="24960120">
      <w:numFmt w:val="decimal"/>
      <w:lvlText w:val=""/>
      <w:lvlJc w:val="left"/>
    </w:lvl>
    <w:lvl w:ilvl="6" w:tplc="63CC1486">
      <w:numFmt w:val="decimal"/>
      <w:lvlText w:val=""/>
      <w:lvlJc w:val="left"/>
    </w:lvl>
    <w:lvl w:ilvl="7" w:tplc="A3B49BAC">
      <w:numFmt w:val="decimal"/>
      <w:lvlText w:val=""/>
      <w:lvlJc w:val="left"/>
    </w:lvl>
    <w:lvl w:ilvl="8" w:tplc="99560A7C">
      <w:numFmt w:val="decimal"/>
      <w:lvlText w:val=""/>
      <w:lvlJc w:val="left"/>
    </w:lvl>
  </w:abstractNum>
  <w:abstractNum w:abstractNumId="2" w15:restartNumberingAfterBreak="0">
    <w:nsid w:val="38DD32BF"/>
    <w:multiLevelType w:val="hybridMultilevel"/>
    <w:tmpl w:val="1988EE84"/>
    <w:lvl w:ilvl="0" w:tplc="C6B222CC">
      <w:start w:val="1"/>
      <w:numFmt w:val="decimal"/>
      <w:lvlText w:val="%1."/>
      <w:lvlJc w:val="left"/>
      <w:pPr>
        <w:ind w:left="500" w:hanging="260"/>
      </w:pPr>
    </w:lvl>
    <w:lvl w:ilvl="1" w:tplc="73D64E32">
      <w:numFmt w:val="decimal"/>
      <w:lvlText w:val=""/>
      <w:lvlJc w:val="left"/>
    </w:lvl>
    <w:lvl w:ilvl="2" w:tplc="39562B02">
      <w:numFmt w:val="decimal"/>
      <w:lvlText w:val=""/>
      <w:lvlJc w:val="left"/>
    </w:lvl>
    <w:lvl w:ilvl="3" w:tplc="5DC8300A">
      <w:numFmt w:val="decimal"/>
      <w:lvlText w:val=""/>
      <w:lvlJc w:val="left"/>
    </w:lvl>
    <w:lvl w:ilvl="4" w:tplc="808A9DC2">
      <w:numFmt w:val="decimal"/>
      <w:lvlText w:val=""/>
      <w:lvlJc w:val="left"/>
    </w:lvl>
    <w:lvl w:ilvl="5" w:tplc="9A78946E">
      <w:numFmt w:val="decimal"/>
      <w:lvlText w:val=""/>
      <w:lvlJc w:val="left"/>
    </w:lvl>
    <w:lvl w:ilvl="6" w:tplc="CF78C3C0">
      <w:numFmt w:val="decimal"/>
      <w:lvlText w:val=""/>
      <w:lvlJc w:val="left"/>
    </w:lvl>
    <w:lvl w:ilvl="7" w:tplc="4A74D928">
      <w:numFmt w:val="decimal"/>
      <w:lvlText w:val=""/>
      <w:lvlJc w:val="left"/>
    </w:lvl>
    <w:lvl w:ilvl="8" w:tplc="7074B626">
      <w:numFmt w:val="decimal"/>
      <w:lvlText w:val=""/>
      <w:lvlJc w:val="left"/>
    </w:lvl>
  </w:abstractNum>
  <w:abstractNum w:abstractNumId="3" w15:restartNumberingAfterBreak="0">
    <w:nsid w:val="70DD3047"/>
    <w:multiLevelType w:val="hybridMultilevel"/>
    <w:tmpl w:val="9E1AE080"/>
    <w:lvl w:ilvl="0" w:tplc="42D42714">
      <w:start w:val="1"/>
      <w:numFmt w:val="bullet"/>
      <w:lvlText w:val="●"/>
      <w:lvlJc w:val="left"/>
      <w:pPr>
        <w:ind w:left="720" w:hanging="360"/>
      </w:pPr>
    </w:lvl>
    <w:lvl w:ilvl="1" w:tplc="79E81972">
      <w:start w:val="1"/>
      <w:numFmt w:val="bullet"/>
      <w:lvlText w:val="○"/>
      <w:lvlJc w:val="left"/>
      <w:pPr>
        <w:ind w:left="1440" w:hanging="360"/>
      </w:pPr>
    </w:lvl>
    <w:lvl w:ilvl="2" w:tplc="74AED8BE">
      <w:start w:val="1"/>
      <w:numFmt w:val="bullet"/>
      <w:lvlText w:val="■"/>
      <w:lvlJc w:val="left"/>
      <w:pPr>
        <w:ind w:left="2160" w:hanging="360"/>
      </w:pPr>
    </w:lvl>
    <w:lvl w:ilvl="3" w:tplc="75EC826E">
      <w:start w:val="1"/>
      <w:numFmt w:val="bullet"/>
      <w:lvlText w:val="●"/>
      <w:lvlJc w:val="left"/>
      <w:pPr>
        <w:ind w:left="2880" w:hanging="360"/>
      </w:pPr>
    </w:lvl>
    <w:lvl w:ilvl="4" w:tplc="4308049A">
      <w:start w:val="1"/>
      <w:numFmt w:val="bullet"/>
      <w:lvlText w:val="○"/>
      <w:lvlJc w:val="left"/>
      <w:pPr>
        <w:ind w:left="3600" w:hanging="360"/>
      </w:pPr>
    </w:lvl>
    <w:lvl w:ilvl="5" w:tplc="DDE05620">
      <w:start w:val="1"/>
      <w:numFmt w:val="bullet"/>
      <w:lvlText w:val="■"/>
      <w:lvlJc w:val="left"/>
      <w:pPr>
        <w:ind w:left="4320" w:hanging="360"/>
      </w:pPr>
    </w:lvl>
    <w:lvl w:ilvl="6" w:tplc="9D044092">
      <w:start w:val="1"/>
      <w:numFmt w:val="bullet"/>
      <w:lvlText w:val="●"/>
      <w:lvlJc w:val="left"/>
      <w:pPr>
        <w:ind w:left="5040" w:hanging="360"/>
      </w:pPr>
    </w:lvl>
    <w:lvl w:ilvl="7" w:tplc="76D082B0">
      <w:start w:val="1"/>
      <w:numFmt w:val="bullet"/>
      <w:lvlText w:val="●"/>
      <w:lvlJc w:val="left"/>
      <w:pPr>
        <w:ind w:left="5760" w:hanging="360"/>
      </w:pPr>
    </w:lvl>
    <w:lvl w:ilvl="8" w:tplc="16A04804">
      <w:start w:val="1"/>
      <w:numFmt w:val="bullet"/>
      <w:lvlText w:val="●"/>
      <w:lvlJc w:val="left"/>
      <w:pPr>
        <w:ind w:left="6480" w:hanging="360"/>
      </w:pPr>
    </w:lvl>
  </w:abstractNum>
  <w:num w:numId="1">
    <w:abstractNumId w:val="3"/>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286B"/>
    <w:rsid w:val="000B7ED7"/>
    <w:rsid w:val="002769E4"/>
    <w:rsid w:val="002F355E"/>
    <w:rsid w:val="0032545D"/>
    <w:rsid w:val="004A1EB7"/>
    <w:rsid w:val="00A3286B"/>
    <w:rsid w:val="00FE76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4FDB"/>
  <w15:docId w15:val="{0AEC298B-D20A-4135-82D7-D01C100C4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FE76FB"/>
    <w:pPr>
      <w:tabs>
        <w:tab w:val="center" w:pos="4419"/>
        <w:tab w:val="right" w:pos="8838"/>
      </w:tabs>
    </w:pPr>
  </w:style>
  <w:style w:type="character" w:customStyle="1" w:styleId="EncabezadoCar">
    <w:name w:val="Encabezado Car"/>
    <w:basedOn w:val="Fuentedeprrafopredeter"/>
    <w:link w:val="Encabezado"/>
    <w:uiPriority w:val="99"/>
    <w:rsid w:val="00FE76FB"/>
  </w:style>
  <w:style w:type="paragraph" w:styleId="Piedepgina">
    <w:name w:val="footer"/>
    <w:basedOn w:val="Normal"/>
    <w:link w:val="PiedepginaCar"/>
    <w:uiPriority w:val="99"/>
    <w:unhideWhenUsed/>
    <w:rsid w:val="00FE76FB"/>
    <w:pPr>
      <w:tabs>
        <w:tab w:val="center" w:pos="4419"/>
        <w:tab w:val="right" w:pos="8838"/>
      </w:tabs>
    </w:pPr>
  </w:style>
  <w:style w:type="character" w:customStyle="1" w:styleId="PiedepginaCar">
    <w:name w:val="Pie de página Car"/>
    <w:basedOn w:val="Fuentedeprrafopredeter"/>
    <w:link w:val="Piedepgina"/>
    <w:uiPriority w:val="99"/>
    <w:rsid w:val="00FE76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2</Pages>
  <Words>230</Words>
  <Characters>1313</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Alan Penroz</cp:lastModifiedBy>
  <cp:revision>5</cp:revision>
  <dcterms:created xsi:type="dcterms:W3CDTF">2026-10-09T22:46:00Z</dcterms:created>
  <dcterms:modified xsi:type="dcterms:W3CDTF">2026-10-10T01:16:00Z</dcterms:modified>
</cp:coreProperties>
</file>