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200"/>
        <w:jc w:val="left"/>
      </w:pPr>
      <w:r>
        <w:rPr>
          <w:rFonts w:ascii="Arial" w:hAnsi="Arial"/>
          <w:b/>
          <w:sz w:val="28"/>
        </w:rPr>
        <w:t>FACULTAD DE CIENCIAS</w:t>
      </w:r>
    </w:p>
    <w:p>
      <w:pPr>
        <w:spacing w:line="360" w:lineRule="auto" w:after="80" w:before="0"/>
        <w:jc w:val="left"/>
      </w:pPr>
      <w:r>
        <w:rPr>
          <w:rFonts w:ascii="Arial" w:hAnsi="Arial"/>
          <w:b/>
          <w:sz w:val="28"/>
        </w:rPr>
        <w:t>ESCUELA DE QUÍMICA Y FARMACIA</w:t>
      </w:r>
    </w:p>
    <w:p>
      <w:pPr>
        <w:spacing w:line="360" w:lineRule="auto" w:after="80" w:before="0"/>
        <w:jc w:val="left"/>
      </w:pPr>
      <w:r>
        <w:rPr>
          <w:rFonts w:ascii="Arial" w:hAnsi="Arial"/>
          <w:b/>
          <w:sz w:val="28"/>
        </w:rPr>
        <w:t>SEDE CONCEPCIÓN</w:t>
      </w:r>
    </w:p>
    <w:p>
      <w:pPr>
        <w:spacing w:line="360" w:lineRule="auto" w:after="1080" w:before="2400"/>
        <w:jc w:val="center"/>
      </w:pPr>
      <w:r>
        <w:rPr>
          <w:rFonts w:ascii="Arial" w:hAnsi="Arial"/>
          <w:b/>
          <w:i w:val="0"/>
          <w:color w:val="000000"/>
          <w:sz w:val="28"/>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headerReference w:type="first" r:id="rId9"/>
          <w:headerReference w:type="default" r:id="rId10"/>
          <w:footerReference w:type="default" r:id="rId13"/>
          <w:pgSz w:w="12240" w:h="15840"/>
          <w:pgMar w:top="1417" w:right="1417" w:bottom="1417" w:left="2268" w:header="709" w:footer="720" w:gutter="0"/>
          <w:cols w:space="720"/>
          <w:titlePg/>
          <w:docGrid w:linePitch="360"/>
        </w:sectPr>
      </w:pPr>
    </w:p>
    <w:p>
      <w:pPr>
        <w:pStyle w:val="TituloPrelim"/>
      </w:pPr>
      <w:r>
        <w:rPr>
          <w:rFonts w:ascii="Arial" w:hAnsi="Arial"/>
          <w:b/>
          <w:sz w:val="24"/>
        </w:rPr>
        <w:t>TABLA DE CONTENIDOS</w:t>
      </w:r>
    </w:p>
    <w:p>
      <w:r>
        <w:fldChar w:fldCharType="begin"/>
      </w:r>
      <w:r>
        <w:instrText xml:space="preserve"> TOC \o "1-2" \h \z \u </w:instrText>
      </w:r>
      <w:r>
        <w:fldChar w:fldCharType="separate"/>
      </w:r>
      <w:r>
        <w:t>Actualice este campo en Word: seleccione todo (Ctrl+E) y presione F9.</w:t>
      </w:r>
      <w:r>
        <w:fldChar w:fldCharType="end"/>
      </w:r>
    </w:p>
    <w:p>
      <w:r>
        <w:br w:type="page"/>
      </w:r>
    </w:p>
    <w:p>
      <w:pPr>
        <w:pStyle w:val="TituloPrelim"/>
      </w:pPr>
      <w:r>
        <w:rPr>
          <w:rFonts w:ascii="Arial" w:hAnsi="Arial"/>
          <w:b/>
          <w:sz w:val="24"/>
        </w:rPr>
        <w:t>ÍNDICE DE TABLAS</w:t>
      </w:r>
    </w:p>
    <w:p>
      <w:r>
        <w:fldChar w:fldCharType="begin"/>
      </w:r>
      <w:r>
        <w:instrText xml:space="preserve"> TOC \h \z \c "Tabla" </w:instrText>
      </w:r>
      <w:r>
        <w:fldChar w:fldCharType="separate"/>
      </w:r>
      <w:r>
        <w:t>Actualice este campo en Word (F9).</w:t>
      </w:r>
      <w:r>
        <w:fldChar w:fldCharType="end"/>
      </w:r>
    </w:p>
    <w:p>
      <w:pPr>
        <w:pStyle w:val="TituloPrelim"/>
      </w:pPr>
      <w:r>
        <w:rPr>
          <w:rFonts w:ascii="Arial" w:hAnsi="Arial"/>
          <w:b/>
          <w:sz w:val="24"/>
        </w:rP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TituloPrelim"/>
      </w:pPr>
      <w:r>
        <w:rPr>
          <w:rFonts w:ascii="Arial" w:hAnsi="Arial"/>
          <w:b/>
          <w:sz w:val="24"/>
        </w:rP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pPr>
        <w:sectPr>
          <w:headerReference w:type="default" r:id="rId11"/>
          <w:headerReference w:type="first" r:id="rId12"/>
          <w:footerReference w:type="default" r:id="rId14"/>
          <w:pgSz w:w="12240" w:h="15840"/>
          <w:pgMar w:top="1417" w:right="1417" w:bottom="1417" w:left="2268" w:header="709" w:footer="720" w:gutter="0"/>
          <w:cols w:space="720"/>
          <w:docGrid w:linePitch="360"/>
          <w:pgNumType w:fmt="lowerRoman" w:start="1"/>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2</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jc w:val="both"/>
      </w:pPr>
      <w:r>
        <w:rPr>
          <w:rFonts w:ascii="Arial" w:hAnsi="Arial"/>
          <w:b w:val="0"/>
          <w:i w:val="0"/>
          <w:sz w:val="24"/>
        </w:rPr>
        <w:t>Dentro de la población inscrita se reconocen grupos específicos que reflejan la diversidad de la comunidad, como 123 personas pertenecientes a pueblos originarios y 257 usuarios migrantes internacionales, lo que orienta una atención con enfoque intercultural e inclusivo. El nombre del sector proviene del mapudungun y significa agua que corre, en referencia a la relación histórica del territorio con su entorno natural. En cuanto a su desarrollo institucional, el centro ha consolidado la certificación del Modelo de Salud Familiar, que pasó de un 53,6% en 2015 a un 88,14% en 2018, y ha rendido procesos de acreditación en 2017 y 2025, lo que da cuenta de un trabajo sostenido por la calidad de la atención.</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3411"/>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8"/>
                    <a:stretch>
                      <a:fillRect/>
                    </a:stretch>
                  </pic:blipFill>
                  <pic:spPr>
                    <a:xfrm>
                      <a:off x="0" y="0"/>
                      <a:ext cx="5400000" cy="3553411"/>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2.3.</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spacing w:line="360" w:lineRule="auto" w:after="80"/>
        <w:ind w:left="567" w:hanging="340"/>
        <w:jc w:val="both"/>
      </w:pPr>
      <w:r>
        <w:rPr>
          <w:rFonts w:ascii="Arial" w:hAnsi="Arial"/>
          <w:sz w:val="24"/>
        </w:rPr>
        <w:t>1. Reconocer la estructura organizacional y las funciones del equipo de la unidad de farmacia del CESFAM Villa Nonguén.</w:t>
      </w:r>
    </w:p>
    <w:p>
      <w:pPr>
        <w:spacing w:line="360" w:lineRule="auto" w:after="80"/>
        <w:ind w:left="567" w:hanging="340"/>
        <w:jc w:val="both"/>
      </w:pPr>
      <w:r>
        <w:rPr>
          <w:rFonts w:ascii="Arial" w:hAnsi="Arial"/>
          <w:sz w:val="24"/>
        </w:rPr>
        <w:t>2. Participar en los procesos técnicos de recepción, almacenamiento, fraccionamiento, reenvasado y dispensación de medicamentos de la unidad de farmacia.</w:t>
      </w:r>
    </w:p>
    <w:p>
      <w:pPr>
        <w:spacing w:line="360" w:lineRule="auto" w:after="80"/>
        <w:ind w:left="567" w:hanging="340"/>
        <w:jc w:val="both"/>
      </w:pPr>
      <w:r>
        <w:rPr>
          <w:rFonts w:ascii="Arial" w:hAnsi="Arial"/>
          <w:sz w:val="24"/>
        </w:rPr>
        <w:t>3. Ejecutar actividades de Atención Farmacéutica, visitas domiciliarias y educación sanitaria orientadas al uso racional de los medicamentos.</w:t>
      </w:r>
    </w:p>
    <w:p>
      <w:pPr>
        <w:spacing w:line="360" w:lineRule="auto" w:after="80"/>
        <w:ind w:left="567" w:hanging="340"/>
        <w:jc w:val="both"/>
      </w:pPr>
      <w:r>
        <w:rPr>
          <w:rFonts w:ascii="Arial" w:hAnsi="Arial"/>
          <w:sz w:val="24"/>
        </w:rPr>
        <w:t>4. Diseñar un protocolo de Atención Farmacéutica domiciliaria basado en el Modelo CMO para el Programa de Salud Cardiovascular del CESFAM Villa Nonguén.</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spacing w:line="360" w:lineRule="auto" w:after="80"/>
        <w:ind w:left="567" w:hanging="340"/>
        <w:jc w:val="both"/>
      </w:pPr>
      <w:r>
        <w:rPr>
          <w:rFonts w:ascii="Arial" w:hAnsi="Arial"/>
          <w:sz w:val="24"/>
        </w:rPr>
        <w:t>1. Inducción y conocimiento del centro y de la unidad de farmacia.</w:t>
      </w:r>
    </w:p>
    <w:p>
      <w:pPr>
        <w:spacing w:line="360" w:lineRule="auto" w:after="80"/>
        <w:ind w:left="567" w:hanging="340"/>
        <w:jc w:val="both"/>
      </w:pPr>
      <w:r>
        <w:rPr>
          <w:rFonts w:ascii="Arial" w:hAnsi="Arial"/>
          <w:sz w:val="24"/>
        </w:rPr>
        <w:t>2. Recepción, almacenamiento y gestión del stock de medicamentos.</w:t>
      </w:r>
    </w:p>
    <w:p>
      <w:pPr>
        <w:spacing w:line="360" w:lineRule="auto" w:after="80"/>
        <w:ind w:left="567" w:hanging="340"/>
        <w:jc w:val="both"/>
      </w:pPr>
      <w:r>
        <w:rPr>
          <w:rFonts w:ascii="Arial" w:hAnsi="Arial"/>
          <w:sz w:val="24"/>
        </w:rPr>
        <w:t>3. Fraccionamiento y reenvasado de medicamentos.</w:t>
      </w:r>
    </w:p>
    <w:p>
      <w:pPr>
        <w:spacing w:line="360" w:lineRule="auto" w:after="80"/>
        <w:ind w:left="567" w:hanging="340"/>
        <w:jc w:val="both"/>
      </w:pPr>
      <w:r>
        <w:rPr>
          <w:rFonts w:ascii="Arial" w:hAnsi="Arial"/>
          <w:sz w:val="24"/>
        </w:rPr>
        <w:t>4. Dispensación informada de medicamentos.</w:t>
      </w:r>
    </w:p>
    <w:p>
      <w:pPr>
        <w:spacing w:line="360" w:lineRule="auto" w:after="80"/>
        <w:ind w:left="567" w:hanging="340"/>
        <w:jc w:val="both"/>
      </w:pPr>
      <w:r>
        <w:rPr>
          <w:rFonts w:ascii="Arial" w:hAnsi="Arial"/>
          <w:sz w:val="24"/>
        </w:rPr>
        <w:t>5. Control de indicadores y registros de despacho.</w:t>
      </w:r>
    </w:p>
    <w:p>
      <w:pPr>
        <w:spacing w:line="360" w:lineRule="auto" w:after="80"/>
        <w:ind w:left="567" w:hanging="340"/>
        <w:jc w:val="both"/>
      </w:pPr>
      <w:r>
        <w:rPr>
          <w:rFonts w:ascii="Arial" w:hAnsi="Arial"/>
          <w:sz w:val="24"/>
        </w:rPr>
        <w:t>6. Atención Farmacéutica y visitas domiciliarias.</w:t>
      </w:r>
    </w:p>
    <w:p>
      <w:pPr>
        <w:spacing w:line="360" w:lineRule="auto" w:after="80"/>
        <w:ind w:left="567" w:hanging="340"/>
        <w:jc w:val="both"/>
      </w:pPr>
      <w:r>
        <w:rPr>
          <w:rFonts w:ascii="Arial" w:hAnsi="Arial"/>
          <w:sz w:val="24"/>
        </w:rPr>
        <w:t>7. Educación sanitaria y promoción del uso racional de medicamentos.</w:t>
      </w:r>
    </w:p>
    <w:p>
      <w:pPr>
        <w:spacing w:line="360" w:lineRule="auto" w:after="80"/>
        <w:ind w:left="567" w:hanging="340"/>
        <w:jc w:val="both"/>
      </w:pPr>
      <w:r>
        <w:rPr>
          <w:rFonts w:ascii="Arial" w:hAnsi="Arial"/>
          <w:sz w:val="24"/>
        </w:rPr>
        <w:t>8. Manejo de medicamentos sujetos a control legal.</w:t>
      </w:r>
    </w:p>
    <w:p>
      <w:pPr>
        <w:spacing w:line="360" w:lineRule="auto" w:after="80"/>
        <w:ind w:left="567" w:hanging="340"/>
        <w:jc w:val="both"/>
      </w:pPr>
      <w:r>
        <w:rPr>
          <w:rFonts w:ascii="Arial" w:hAnsi="Arial"/>
          <w:sz w:val="24"/>
        </w:rPr>
        <w:t>9. Inventario y ordenamiento de bodega.</w:t>
      </w:r>
    </w:p>
    <w:p>
      <w:pPr>
        <w:spacing w:line="360" w:lineRule="auto" w:after="80"/>
        <w:ind w:left="567" w:hanging="340"/>
        <w:jc w:val="both"/>
      </w:pPr>
      <w:r>
        <w:rPr>
          <w:rFonts w:ascii="Arial" w:hAnsi="Arial"/>
          <w:sz w:val="24"/>
        </w:rPr>
        <w:t>10. Eliminación de medicamentos vencidos, en mal estado o sin rotulación adecuada.</w:t>
      </w:r>
    </w:p>
    <w:p>
      <w:pPr>
        <w:spacing w:line="360" w:lineRule="auto" w:after="80"/>
        <w:ind w:left="567" w:hanging="340"/>
        <w:jc w:val="both"/>
      </w:pPr>
      <w:r>
        <w:rPr>
          <w:rFonts w:ascii="Arial" w:hAnsi="Arial"/>
          <w:sz w:val="24"/>
        </w:rPr>
        <w:t>11. Apoyo en las supervisiones del Servicio de Salud.</w:t>
      </w:r>
    </w:p>
    <w:p>
      <w:pPr>
        <w:spacing w:line="360" w:lineRule="auto" w:after="80"/>
        <w:ind w:left="567" w:hanging="340"/>
        <w:jc w:val="both"/>
      </w:pPr>
      <w:r>
        <w:rPr>
          <w:rFonts w:ascii="Arial" w:hAnsi="Arial"/>
          <w:sz w:val="24"/>
        </w:rPr>
        <w:t>12. Conocimiento del arsenal farmacoterapéutico, los programas ministeriales (GES) y las fuentes de información de medicamentos.</w:t>
      </w:r>
    </w:p>
    <w:p>
      <w:pPr>
        <w:spacing w:line="360" w:lineRule="auto" w:after="80"/>
        <w:ind w:left="567" w:hanging="340"/>
        <w:jc w:val="both"/>
      </w:pPr>
      <w:r>
        <w:rPr>
          <w:rFonts w:ascii="Arial" w:hAnsi="Arial"/>
          <w:sz w:val="24"/>
        </w:rPr>
        <w:t>13. Vinculación con el medio.</w:t>
      </w:r>
    </w:p>
    <w:p>
      <w:pPr>
        <w:spacing w:line="360" w:lineRule="auto" w:after="80"/>
        <w:ind w:left="567" w:hanging="340"/>
        <w:jc w:val="both"/>
      </w:pPr>
      <w:r>
        <w:rPr>
          <w:rFonts w:ascii="Arial" w:hAnsi="Arial"/>
          <w:sz w:val="24"/>
        </w:rPr>
        <w:t>14. Seminario de título: diseño de un protocolo de Atención Farmacéutica domiciliaria.</w:t>
      </w:r>
    </w:p>
    <w:p>
      <w:pPr>
        <w:pStyle w:val="Heading2"/>
      </w:pPr>
      <w:r>
        <w:t>2.1 Cronograma de actividades desarrolladas</w:t>
      </w:r>
    </w:p>
    <w:p>
      <w:pPr>
        <w:jc w:val="both"/>
      </w:pPr>
      <w:r>
        <w:rPr>
          <w:rFonts w:ascii="Arial" w:hAnsi="Arial"/>
          <w:b w:val="0"/>
          <w:i w:val="0"/>
          <w:sz w:val="24"/>
        </w:rPr>
        <w:t>La Figura 2 muestra, semana a semana, las actividades efectivamente desarrolladas. En términos generales, la ejecución siguió lo planificado, con algunos ajustes propios de la dinámica del establecimiento. El fraccionamiento, el reenvasado y el despacho se mantuvieron durante casi todo el periodo, ya que constituyen tareas habituales de la unidad, y la Atención Farmacéutica se realizó todas las semanas, en más de una oportunidad por semana, gracias a la muy buena disposición de los Químicos Farmacéuticos para integrar al interno a esa labor y enseñarle cómo llevarla a cabo. Hacia las últimas semanas se sumó la eliminación de medicamentos vencidos, y a lo largo de la rotación aparecieron actividades no previstas al inicio, como el apoyo durante las supervisiones del Servicio de Salud y una situación de vinculación con el medio surgida en terreno. La Tabla 3 complementa la figura con el detalle de lo realizado día a día.</w:t>
      </w:r>
    </w:p>
    <w:p>
      <w:pPr>
        <w:spacing w:before="360" w:after="120"/>
        <w:jc w:val="center"/>
        <w:pBdr>
          <w:top w:val="dashed" w:sz="6" w:space="16" w:color="808080"/>
          <w:bottom w:val="dashed" w:sz="6" w:space="16" w:color="808080"/>
          <w:left w:val="dashed" w:sz="6" w:space="16" w:color="808080"/>
          <w:right w:val="dashed" w:sz="6" w:space="16" w:color="808080"/>
        </w:pBdr>
      </w:pPr>
      <w:r>
        <w:rPr>
          <w:rFonts w:ascii="Arial" w:hAnsi="Arial"/>
          <w:i/>
          <w:color w:val="000000"/>
          <w:sz w:val="22"/>
        </w:rPr>
        <w:t>[ Espacio reservado para insertar aquí la Carta Gantt de actividades desarrolladas ]</w:t>
        <w:br/>
        <w:br/>
        <w:br/>
        <w:br/>
        <w:br/>
        <w:br/>
      </w:r>
      <w:r>
        <w:rPr>
          <w:rFonts w:ascii="Arial" w:hAnsi="Arial"/>
          <w:i/>
          <w:color w:val="000000"/>
          <w:sz w:val="20"/>
        </w:rPr>
        <w:t>Elija uno de los diseños disponibles en la carpeta recursos-informe (fig_gantt_opcion1, opcion2 u opcion3) en PNG o PDF.</w:t>
      </w:r>
    </w:p>
    <w:p>
      <w:pPr>
        <w:pStyle w:val="Caption"/>
      </w:pPr>
      <w:r>
        <w:t xml:space="preserve">Figura </w:t>
      </w:r>
      <w:r>
        <w:fldChar w:fldCharType="begin"/>
      </w:r>
      <w:r>
        <w:instrText xml:space="preserve"> SEQ Figura \* ARABIC </w:instrText>
      </w:r>
      <w:r>
        <w:fldChar w:fldCharType="separate"/>
      </w:r>
      <w:r>
        <w:t>2</w:t>
      </w:r>
      <w:r>
        <w:fldChar w:fldCharType="end"/>
      </w:r>
      <w:r>
        <w:t>. Carta Gantt de actividades desarrolladas del internado.</w:t>
      </w:r>
    </w:p>
    <w:p>
      <w:pPr>
        <w:pStyle w:val="Caption"/>
      </w:pPr>
      <w:r>
        <w:t xml:space="preserve">Tabla </w:t>
      </w:r>
      <w:r>
        <w:fldChar w:fldCharType="begin"/>
      </w:r>
      <w:r>
        <w:instrText xml:space="preserve"> SEQ Tabla \* ARABIC </w:instrText>
      </w:r>
      <w:r>
        <w:fldChar w:fldCharType="separate"/>
      </w:r>
      <w:r>
        <w:t>3</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incorporación de vildagliptina al arsenal</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 y Atención Farmacéutica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Eliminación de vencidos (separación por bolsa)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Eliminación de vencidos y acta de baja</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2.2 Descripción de las actividades realizadas</w:t>
      </w:r>
    </w:p>
    <w:p>
      <w:pPr>
        <w:pStyle w:val="Heading3"/>
      </w:pPr>
      <w:r>
        <w:t>2.2.1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w:t>
      </w:r>
    </w:p>
    <w:p>
      <w:pPr>
        <w:pStyle w:val="Heading3"/>
      </w:pPr>
      <w:r>
        <w:t>2.2.2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de temperatura y humedad, y aplicando el criterio FEFO, es decir, lo primero que vence es lo primero que sale, para asegurar la rotación de las existencias.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w:t>
      </w:r>
    </w:p>
    <w:p>
      <w:pPr>
        <w:pStyle w:val="Heading3"/>
      </w:pPr>
      <w:r>
        <w:t>2.2.3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w:t>
      </w:r>
    </w:p>
    <w:p>
      <w:pPr>
        <w:pStyle w:val="Heading3"/>
      </w:pPr>
      <w:r>
        <w:t>2.2.4 Dispensación informada de medicamentos</w:t>
      </w:r>
    </w:p>
    <w:p>
      <w:pPr>
        <w:jc w:val="both"/>
      </w:pPr>
      <w:r>
        <w:rPr>
          <w:rFonts w:ascii="Arial" w:hAnsi="Arial"/>
          <w:b w:val="0"/>
          <w:i w:val="0"/>
          <w:sz w:val="24"/>
        </w:rPr>
        <w:t>Se apoyó la dispensación de medicamentos a los usuarios siguiendo el protocolo de despacho del establecimiento, que busca entregar el tratamiento correcto de forma ordenada y sin errores. El trabajo reforzó el reconocimiento de los principios activos, las presentaciones y su ubicación dentro de la unidad, la verificación de la receta y de los datos del paciente, y las buenas prácticas de entrega. Cada despacho se registra en el sistema informático SINET Sur, que descuenta el producto de su bincard, de modo que el stock queda actualizado y trazable en todo momento. La dispensación se acompañó de la información necesaria para el uso correcto de la terapia, verificando la indicación y resolviendo dudas de los pacientes. Este orden y esta trazabilidad, junto con el traspaso registrado de medicamentos desde la bodega a la farmacia, fueron uno de los aspectos más destacables de la unidad.</w:t>
      </w:r>
    </w:p>
    <w:p>
      <w:pPr>
        <w:pStyle w:val="Heading3"/>
      </w:pPr>
      <w:r>
        <w:t>2.2.5 Atención Farmacéutica y visitas domiciliarias</w:t>
      </w:r>
    </w:p>
    <w:p>
      <w:pPr>
        <w:jc w:val="both"/>
      </w:pPr>
      <w:r>
        <w:rPr>
          <w:rFonts w:ascii="Arial" w:hAnsi="Arial"/>
          <w:b w:val="0"/>
          <w:i w:val="0"/>
          <w:sz w:val="24"/>
        </w:rPr>
        <w:t>La Atención Farmacéutica fue una de las actividades más significativas del internado y se realizó todas las semanas, en más de una oportunidad por semana, gracias a la muy buena disposición de los Químicos Farmacéuticos, que integraron al interno a esta labor y le enseñaron cómo llevarla a cabo.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w:t>
      </w:r>
    </w:p>
    <w:p>
      <w:pPr>
        <w:pStyle w:val="Heading3"/>
      </w:pPr>
      <w:r>
        <w:t>2.2.6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w:t>
      </w:r>
    </w:p>
    <w:p>
      <w:pPr>
        <w:pStyle w:val="Heading3"/>
      </w:pPr>
      <w:r>
        <w:t>2.2.7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3"/>
      </w:pPr>
      <w:r>
        <w:t>2.2.8 Arsenal farmacoterapéutico, programas ministeriales y fuentes de información</w:t>
      </w:r>
    </w:p>
    <w:p>
      <w:pPr>
        <w:jc w:val="both"/>
      </w:pPr>
      <w:r>
        <w:rPr>
          <w:rFonts w:ascii="Arial" w:hAnsi="Arial"/>
          <w:b w:val="0"/>
          <w:i w:val="0"/>
          <w:sz w:val="24"/>
        </w:rPr>
        <w:t>A lo largo del internado se conoció el arsenal farmacoterapéutico de la unidad, es decir, el listado de medicamentos disponibles en el CESFAM según la canasta de la Atención Primaria y las orientaciones del Ministerio de Salud, junto con los criterios que definen qué medicamentos se incorporan o se retiran del arsenal. Un ejemplo observado durante el internado fue la incorporación de la vildagliptina, un inhibidor de la enzima DPP-4, como una alternativa más para el tratamiento de la diabetes mellitus tipo 2, mientras que la glibenclamida, una sulfonilurea asociada a un mayor riesgo de hipoglucemia, se está retirando de forma gradual. También se conoció el manejo de los medicamentos sujetos a control legal, con su registro y custodia diferenciados, y el circuito de notificación de farmacovigilancia frente a una sospecha de reacción adversa, aunque durante la estadía no se presentó un caso que ameritara notificar. Buena parte del trabajo de la unidad se articula con los programas ministeriales y las patologías con Garantías Explícitas en Salud (GES), como la epilepsia y la tuberculosis, cuyos tratamientos se dispensan y controlan de acuerdo con cada programa. Para resolver dudas sobre los medicamentos y apoyar la Atención Farmacéutica con evidencia, se recurrió a fuentes de información confiables y actualizadas, entre ellas UpToDate, Medscape y Drugs.com, además de la normativa y las guías del Ministerio de Salud.</w:t>
      </w:r>
    </w:p>
    <w:p>
      <w:pPr>
        <w:pStyle w:val="Heading3"/>
      </w:pPr>
      <w:r>
        <w:t>2.2.9 Manejo de medicamentos sujetos a control legal</w:t>
      </w:r>
    </w:p>
    <w:p>
      <w:pPr>
        <w:jc w:val="both"/>
      </w:pPr>
      <w:r>
        <w:rPr>
          <w:rFonts w:ascii="Arial" w:hAnsi="Arial"/>
          <w:b w:val="0"/>
          <w:i w:val="0"/>
          <w:sz w:val="24"/>
        </w:rPr>
        <w:t>Se conoció el manejo de los medicamentos sujetos a control legal, es decir, los psicotrópicos y estupefacientes, que se guardan bajo llave y se registran de forma diferenciada en los libros oficiales de control. Se revisó cómo se verifican las recetas retenidas, cómo se descuentan las existencias y cómo se resguarda la trazabilidad de estos fármacos, en línea con la normativa vigente.</w:t>
      </w:r>
    </w:p>
    <w:p>
      <w:pPr>
        <w:pStyle w:val="Heading3"/>
      </w:pPr>
      <w:r>
        <w:t>2.2.10 Eliminación de medicamentos vencidos</w:t>
      </w:r>
    </w:p>
    <w:p>
      <w:pPr>
        <w:jc w:val="both"/>
      </w:pPr>
      <w:r>
        <w:rPr>
          <w:rFonts w:ascii="Arial" w:hAnsi="Arial"/>
          <w:b w:val="0"/>
          <w:i w:val="0"/>
          <w:sz w:val="24"/>
        </w:rPr>
        <w:t>Durante las dos últimas semanas del internado se participó en la eliminación de medicamentos vencidos, en mal estado o sin rotulación adecuada, siguiendo el procedimiento del establecimiento. El trabajo consistió en revisar las existencias de la farmacia y la bodega, marcar y separar los productos que debían eliminarse y llevarlos al área donde no se pueden dispensar, descontar sus saldos de la bincard en el sistema y dejar constancia en el acta de baja mensual. Los productos se acondicionan en bolsas y contenedores de residuos peligrosos para su retiro a la sala REAS, desde donde una empresa externa realiza la disposición final, y en el caso de los psicotrópicos y estupefacientes la eliminación se hace con aviso previo a la autoridad sanitaria. Esta actividad reforzó la importancia de dispensar solo productos vigentes y en buen estado.</w:t>
      </w:r>
    </w:p>
    <w:p>
      <w:pPr>
        <w:pStyle w:val="Heading2"/>
      </w:pPr>
      <w:r>
        <w:t>2.3 Seminario de título</w:t>
      </w:r>
    </w:p>
    <w:p>
      <w:pPr>
        <w:jc w:val="both"/>
      </w:pPr>
      <w:r>
        <w:rPr>
          <w:rFonts w:ascii="Arial" w:hAnsi="Arial"/>
          <w:b w:val="0"/>
          <w:i w:val="0"/>
          <w:sz w:val="24"/>
        </w:rPr>
        <w:t>El seminario de título se desarrolló en paralelo a las actividades de farmacia y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2.3.1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identificar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2.3.2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2.3.3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4</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2.3.4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La rotación abarcó tanto las tareas técnicas y de gestión, como la recepción, el almacenamiento, la gestión de stock, el fraccionamiento, el reenvasado, la dispensación y la eliminación de medicamentos vencidos, como las tareas clínicas y comunitarias, entre ellas la Atención Farmacéutica, las visitas domiciliarias y el taller de uso racional de medicamentos, y culminó con el diseño del protocolo domiciliario basado en el Modelo CMO como seminario de título. Este recorrido, que fue desde la gestión del arsenal hasta el seguimiento del paciente en su propio hogar, entregó una visión completa del quehacer del Químico Farmacéutico en la Atención Primaria y permitió alcanzar lo propuesto al inicio de la rotación.</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El paso por la unidad de farmacia del CESFAM Villa Nonguén dejó ver varias fortalezas. La más evidente es el orden y la trazabilidad con que se maneja el medicamento, ya que cada producto se cuenta, se descuenta de su bincard al momento del despacho y se traspasa desde la bodega a la farmacia dejando registro, lo que permite saber en todo momento con qué stock se cuenta. El sistema informático que utilizan, SINET Sur, resultó sencillo y fácil de entender, y acompaña bien el trabajo diario de dispensación. A esto se suma un equipo consolidado, con muy buena disposición de los Químicos Farmacéuticos para enseñar y para llevar al interno a hacer Atención Farmacéutica más de una vez por semana, y una atención cercana que la comunidad agradece. El centro tiene, además, el valor histórico de haber sido pionero en el Modelo de Salud Familiar en el país.</w:t>
      </w:r>
    </w:p>
    <w:p>
      <w:pPr>
        <w:jc w:val="both"/>
      </w:pPr>
      <w:r>
        <w:rPr>
          <w:rFonts w:ascii="Arial" w:hAnsi="Arial"/>
          <w:b w:val="0"/>
          <w:i w:val="0"/>
          <w:sz w:val="24"/>
        </w:rPr>
        <w:t>Entre los aspectos por mejorar, el más claro es el espacio. Como el CESFAM cada vez atiende a más personas, la farmacia se ha ido quedando pequeña, con pocas ventanillas de atención y momentos en que se llena de gente, lo que deja poco lugar para que los usuarios esperen con comodidad. El espacio para guardar medicamentos también es reducido, por lo que se deben hacer traspasos constantes desde la bodega, que igualmente es pequeña y deja poco margen para movilizarse, aun cuando los medicamentos están ordenados y se cumplen los criterios de almacenamiento. Un aspecto adicional, que dio origen al seminario de título, es que la visita domiciliaria del farmacéutico se realizaba sin un procedimiento escrito y estandarizado, apoyándose en hojas personales además de la ficha clínica, lo que dificultaba comparar el trabajo entre profesionales y darle continuidad.</w:t>
      </w:r>
    </w:p>
    <w:p>
      <w:pPr>
        <w:pStyle w:val="Heading2"/>
      </w:pPr>
      <w:r>
        <w:t>3.3 Comparación con otro centro de Atención Primaria</w:t>
      </w:r>
    </w:p>
    <w:p>
      <w:pPr>
        <w:jc w:val="both"/>
      </w:pPr>
      <w:r>
        <w:rPr>
          <w:rFonts w:ascii="Arial" w:hAnsi="Arial"/>
          <w:b w:val="0"/>
          <w:i w:val="0"/>
          <w:sz w:val="24"/>
        </w:rPr>
        <w:t>Para poner en contexto la experiencia, resulta útil comparar el CESFAM Villa Nonguén con el CESFAM Hualpencillo, de la comuna de Hualpén, también en la Región del Biobío, donde se desarrolló una práctica previa. Ambos son establecimientos de Atención Primaria que trabajan bajo el Modelo de Salud Familiar y comparten las tareas propias de una farmacia de este nivel, como el fraccionamiento y reenvasado, el despacho informado, el control de los medicamentos sujetos a fiscalización, la eliminación de productos vencidos y la entrega de medicamentos a domicilio, que en Hualpencillo se organiza a través del programa Piloto con generación de váuchers y en Villa Nonguén se enmarca en el Programa de Salud Cardiovascular (Organización Mundial de la Salud, 2021; Ministerio de Salud de Chile, 2020).</w:t>
      </w:r>
    </w:p>
    <w:p>
      <w:pPr>
        <w:jc w:val="both"/>
      </w:pPr>
      <w:r>
        <w:rPr>
          <w:rFonts w:ascii="Arial" w:hAnsi="Arial"/>
          <w:b w:val="0"/>
          <w:i w:val="0"/>
          <w:sz w:val="24"/>
        </w:rPr>
        <w:t>La primera diferencia está en la dependencia administrativa, ya que Hualpencillo es de administración municipal, mientras que Villa Nonguén funciona bajo administración delegada a cargo de COSADES. En cuanto a la gestión del medicamento, el sistema informático de Villa Nonguén, SINET Sur, se percibió más sencillo y con mayor trazabilidad que el utilizado en Hualpencillo, con un conteo claro de existencias y descuentos automáticos al momento del despacho. Ambos centros, de todos modos, comparten una limitación de infraestructura, ya que en los dos el espacio de bodega y de farmacia resulta estrecho para el volumen de medicamentos y de público que manejan. La diferencia es que en Hualpencillo esa dificultad se acompaña de una falta de personal para cubrir la extensión horaria y de la ausencia de Químico Farmacéutico en algunos horarios, lo que limita la supervisión de la dispensación (Organización Panamericana de la Salud, 2024), mientras que en Villa Nonguén el problema es sobre todo de espacio físico más que de dotación. Esta comparación confirma que la infraestructura es un desafío común de la Atención Primaria y que el orden y la trazabilidad de Villa Nonguén son una fortaleza que vale la pena mantener.</w:t>
      </w:r>
    </w:p>
    <w:p>
      <w:pPr>
        <w:pStyle w:val="Heading2"/>
      </w:pPr>
      <w:r>
        <w:t>3.4 Originalidad y propuestas de mejora</w:t>
      </w:r>
    </w:p>
    <w:p>
      <w:pPr>
        <w:spacing w:line="360" w:lineRule="auto" w:after="80"/>
        <w:ind w:left="567" w:hanging="340"/>
        <w:jc w:val="both"/>
      </w:pPr>
      <w:r>
        <w:rPr>
          <w:rFonts w:ascii="Arial" w:hAnsi="Arial"/>
          <w:sz w:val="24"/>
        </w:rPr>
        <w:t>1. Ampliar el espacio físico de la farmacia y de la bodega, aumentar el número de ventanillas de atención y habilitar un área de espera más cómoda, de modo de responder al crecimiento sostenido de la población inscrita.</w:t>
      </w:r>
    </w:p>
    <w:p>
      <w:pPr>
        <w:spacing w:line="360" w:lineRule="auto" w:after="80"/>
        <w:ind w:left="567" w:hanging="340"/>
        <w:jc w:val="both"/>
      </w:pPr>
      <w:r>
        <w:rPr>
          <w:rFonts w:ascii="Arial" w:hAnsi="Arial"/>
          <w:sz w:val="24"/>
        </w:rPr>
        <w:t>2. Incorporar de manera formal el protocolo de Atención Farmacéutica domiciliaria basado en el Modelo CMO, con criterios de priorización propios del farmacéutico, como aporte original surgido del seminario de título.</w:t>
      </w:r>
    </w:p>
    <w:p>
      <w:pPr>
        <w:spacing w:line="360" w:lineRule="auto" w:after="80"/>
        <w:ind w:left="567" w:hanging="340"/>
        <w:jc w:val="both"/>
      </w:pPr>
      <w:r>
        <w:rPr>
          <w:rFonts w:ascii="Arial" w:hAnsi="Arial"/>
          <w:sz w:val="24"/>
        </w:rPr>
        <w:t>3. Estandarizar el registro de la Atención Farmacéutica mediante fichas de conciliación y de seguimiento comunes, que luego se traspasen a la ficha clínica electrónica, para mejorar la trazabilidad y la continuidad.</w:t>
      </w:r>
    </w:p>
    <w:p>
      <w:pPr>
        <w:spacing w:line="360" w:lineRule="auto" w:after="80"/>
        <w:ind w:left="567" w:hanging="340"/>
        <w:jc w:val="both"/>
      </w:pPr>
      <w:r>
        <w:rPr>
          <w:rFonts w:ascii="Arial" w:hAnsi="Arial"/>
          <w:sz w:val="24"/>
        </w:rPr>
        <w:t>4. Reforzar el trabajo de la adherencia con herramientas simples y validadas, como el test de Morisky-Green-Levine, y con la entrevista motivacional.</w:t>
      </w:r>
    </w:p>
    <w:p>
      <w:pPr>
        <w:spacing w:line="360" w:lineRule="auto" w:after="80"/>
        <w:ind w:left="567" w:hanging="340"/>
        <w:jc w:val="both"/>
      </w:pPr>
      <w:r>
        <w:rPr>
          <w:rFonts w:ascii="Arial" w:hAnsi="Arial"/>
          <w:sz w:val="24"/>
        </w:rPr>
        <w:t>5. Mantener y difundir las buenas prácticas de trazabilidad y orden observadas en Villa Nonguén, que pueden servir de referencia para otros centros de la red.</w:t>
      </w:r>
    </w:p>
    <w:p>
      <w:pPr>
        <w:pStyle w:val="Heading1"/>
      </w:pPr>
      <w:r>
        <w:t>4. CONCLUSIONES</w:t>
      </w:r>
    </w:p>
    <w:p>
      <w:pPr>
        <w:pStyle w:val="Heading2"/>
      </w:pPr>
      <w:r>
        <w:t>4.1 Conclusiones generales</w:t>
      </w:r>
    </w:p>
    <w:p>
      <w:pPr>
        <w:spacing w:line="360" w:lineRule="auto" w:after="80"/>
        <w:ind w:left="567" w:hanging="340"/>
        <w:jc w:val="both"/>
      </w:pPr>
      <w:r>
        <w:rPr>
          <w:rFonts w:ascii="Arial" w:hAnsi="Arial"/>
          <w:sz w:val="24"/>
        </w:rPr>
        <w:t>1. El internado en el CESFAM Villa Nonguén permitió desarrollar las competencias del Químico Farmacéutico en el ámbito de la farmacia asistencial y la Atención Primaria, integrándose de manera efectiva al equipo de la unidad de farmacia.</w:t>
      </w:r>
    </w:p>
    <w:p>
      <w:pPr>
        <w:spacing w:line="360" w:lineRule="auto" w:after="80"/>
        <w:ind w:left="567" w:hanging="340"/>
        <w:jc w:val="both"/>
      </w:pPr>
      <w:r>
        <w:rPr>
          <w:rFonts w:ascii="Arial" w:hAnsi="Arial"/>
          <w:sz w:val="24"/>
        </w:rPr>
        <w:t>2. Se reconocieron la estructura y los procesos de la unidad de farmacia, y se participó en las tareas de recepción, almacenamiento, gestión de stock, fraccionamiento, reenvasado, despacho y eliminación de medicamentos vencidos, resguardando la trazabilidad y el uso eficiente de los recursos.</w:t>
      </w:r>
    </w:p>
    <w:p>
      <w:pPr>
        <w:spacing w:line="360" w:lineRule="auto" w:after="80"/>
        <w:ind w:left="567" w:hanging="340"/>
        <w:jc w:val="both"/>
      </w:pPr>
      <w:r>
        <w:rPr>
          <w:rFonts w:ascii="Arial" w:hAnsi="Arial"/>
          <w:sz w:val="24"/>
        </w:rPr>
        <w:t>3. Se ejecutó Atención Farmacéutica de forma sostenida, con más de una actividad por semana durante toda la rotación, además de visitas domiciliarias y la promoción del uso racional de los medicamentos, lo que evidenció el aporte clínico y comunitario del farmacéutico en este nivel de atención.</w:t>
      </w:r>
    </w:p>
    <w:p>
      <w:pPr>
        <w:spacing w:line="360" w:lineRule="auto" w:after="80"/>
        <w:ind w:left="567" w:hanging="340"/>
        <w:jc w:val="both"/>
      </w:pPr>
      <w:r>
        <w:rPr>
          <w:rFonts w:ascii="Arial" w:hAnsi="Arial"/>
          <w:sz w:val="24"/>
        </w:rPr>
        <w:t>4. Se diseñó, como seminario de título, un protocolo de Atención Farmacéutica domiciliaria basado en el Modelo CMO, que aporta una herramienta concreta para ordenar, estandarizar y hacer trazable la visita domiciliaria en el establecimiento.</w:t>
      </w:r>
    </w:p>
    <w:p>
      <w:pPr>
        <w:spacing w:line="360" w:lineRule="auto" w:after="80"/>
        <w:ind w:left="567" w:hanging="340"/>
        <w:jc w:val="both"/>
      </w:pPr>
      <w:r>
        <w:rPr>
          <w:rFonts w:ascii="Arial" w:hAnsi="Arial"/>
          <w:sz w:val="24"/>
        </w:rPr>
        <w:t>5. La comparación con el CESFAM Hualpencillo mostró que la limitación de espacio es un desafío compartido de la Atención Primaria, y confirmó como fortaleza distintiva de Villa Nonguén el orden y la trazabilidad en el manejo del medicamento.</w:t>
      </w:r>
    </w:p>
    <w:p>
      <w:pPr>
        <w:pStyle w:val="Heading2"/>
      </w:pPr>
      <w:r>
        <w:t>4.2 Proyecciones y futuras líneas de trabajo</w:t>
      </w:r>
    </w:p>
    <w:p>
      <w:pPr>
        <w:jc w:val="both"/>
      </w:pPr>
      <w:r>
        <w:rPr>
          <w:rFonts w:ascii="Arial" w:hAnsi="Arial"/>
          <w:b w:val="0"/>
          <w:i w:val="0"/>
          <w:sz w:val="24"/>
        </w:rPr>
        <w:t>De cara al futuro, la principal proyección es implementar y evaluar en el propio centro el protocolo de Atención Farmacéutica domiciliaria diseñado como seminario de título, midiendo su efecto sobre la adherencia y sobre el control de los pacientes del Programa de Salud Cardiovascular, para luego extenderlo a otros programas y a usuarios con polifarmacia. En paralelo, sería valioso gestionar la ampliación de la infraestructura de la farmacia y de la bodega, y avanzar hacia un registro estandarizado de la Atención Farmacéutica que consolide la trazabilidad que ya caracteriza al centro. Estas líneas permitirían proyectar el aporte del Químico Farmacéutico más allá del periodo de internado y fortalecer la calidad de la atención que recibe la comunidad.</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Organización Mundial de la Salud. (2021). Atención Primaria de Salud. OMS. https://www.who.int/es/health-topics/primary-health-care</w:t>
      </w:r>
    </w:p>
    <w:p>
      <w:pPr>
        <w:spacing w:line="360" w:lineRule="auto" w:after="160"/>
        <w:ind w:left="567" w:hanging="567"/>
        <w:jc w:val="both"/>
      </w:pPr>
      <w:r>
        <w:rPr>
          <w:rFonts w:ascii="Arial" w:hAnsi="Arial"/>
          <w:sz w:val="24"/>
        </w:rPr>
        <w:t>Organización Panamericana de la Salud. (2024). Servicios farmacéuticos basados en la Atención Primaria de Salud. OPS.</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5</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6</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p>
      <w:pPr>
        <w:pStyle w:val="Heading2"/>
      </w:pPr>
      <w:r>
        <w:t>Anexo 4. Protocolos de la unidad de farmacia consultados</w:t>
      </w:r>
    </w:p>
    <w:p>
      <w:pPr>
        <w:jc w:val="both"/>
      </w:pPr>
      <w:r>
        <w:rPr>
          <w:rFonts w:ascii="Arial" w:hAnsi="Arial"/>
          <w:b w:val="0"/>
          <w:i w:val="0"/>
          <w:sz w:val="24"/>
        </w:rPr>
        <w:t>Durante el internado se revisaron y aplicaron los procedimientos internos de la unidad de farmacia del CESFAM Villa Nonguén, que sirvieron de base para las actividades descritas en este informe.</w:t>
      </w:r>
    </w:p>
    <w:p>
      <w:pPr>
        <w:pStyle w:val="ListBullet"/>
        <w:spacing w:line="360" w:lineRule="auto"/>
      </w:pPr>
      <w:r>
        <w:rPr>
          <w:rFonts w:ascii="Arial" w:hAnsi="Arial"/>
          <w:sz w:val="24"/>
        </w:rPr>
        <w:t>APF 1.2.1 Comité de Farmacia.</w:t>
      </w:r>
    </w:p>
    <w:p>
      <w:pPr>
        <w:pStyle w:val="ListBullet"/>
        <w:spacing w:line="360" w:lineRule="auto"/>
      </w:pPr>
      <w:r>
        <w:rPr>
          <w:rFonts w:ascii="Arial" w:hAnsi="Arial"/>
          <w:sz w:val="24"/>
        </w:rPr>
        <w:t>APF 1.3.1 Rotulación de medicamentos.</w:t>
      </w:r>
    </w:p>
    <w:p>
      <w:pPr>
        <w:pStyle w:val="ListBullet"/>
        <w:spacing w:line="360" w:lineRule="auto"/>
      </w:pPr>
      <w:r>
        <w:rPr>
          <w:rFonts w:ascii="Arial" w:hAnsi="Arial"/>
          <w:sz w:val="24"/>
        </w:rPr>
        <w:t>APF 1.3.2 Envasado de medicamentos e insumos de farmacia.</w:t>
      </w:r>
    </w:p>
    <w:p>
      <w:pPr>
        <w:pStyle w:val="ListBullet"/>
        <w:spacing w:line="360" w:lineRule="auto"/>
      </w:pPr>
      <w:r>
        <w:rPr>
          <w:rFonts w:ascii="Arial" w:hAnsi="Arial"/>
          <w:sz w:val="24"/>
        </w:rPr>
        <w:t>APF 1.3.3.1 Despacho de medicamentos.</w:t>
      </w:r>
    </w:p>
    <w:p>
      <w:pPr>
        <w:pStyle w:val="ListBullet"/>
        <w:spacing w:line="360" w:lineRule="auto"/>
      </w:pPr>
      <w:r>
        <w:rPr>
          <w:rFonts w:ascii="Arial" w:hAnsi="Arial"/>
          <w:sz w:val="24"/>
        </w:rPr>
        <w:t>APF 1.4.1 Almacenamiento y conservación de medicamentos.</w:t>
      </w:r>
    </w:p>
    <w:p>
      <w:pPr>
        <w:pStyle w:val="ListBullet"/>
        <w:spacing w:line="360" w:lineRule="auto"/>
      </w:pPr>
      <w:r>
        <w:rPr>
          <w:rFonts w:ascii="Arial" w:hAnsi="Arial"/>
          <w:sz w:val="24"/>
        </w:rPr>
        <w:t>APF 13 Eliminación de medicamentos expirados, en mal estado o sin rotulación adecuada.</w:t>
      </w:r>
    </w:p>
    <w:p>
      <w:pPr>
        <w:pStyle w:val="ListBullet"/>
        <w:spacing w:line="360" w:lineRule="auto"/>
      </w:pPr>
      <w:r>
        <w:rPr>
          <w:rFonts w:ascii="Arial" w:hAnsi="Arial"/>
          <w:sz w:val="24"/>
        </w:rPr>
        <w:t>APF 22 Manejo de psicotrópicos y estupefacientes.</w:t>
      </w:r>
    </w:p>
    <w:sectPr w:rsidR="00FC693F" w:rsidRPr="0006063C" w:rsidSect="00034616">
      <w:headerReference w:type="default" r:id="rId15"/>
      <w:headerReference w:type="first" r:id="rId16"/>
      <w:footerReference w:type="default" r:id="rId17"/>
      <w:pgSz w:w="12240" w:h="15840"/>
      <w:pgMar w:top="1417" w:right="1417" w:bottom="1417" w:left="2268" w:header="709"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44000" cy="661361"/>
          <wp:docPr id="1" name="Picture 1"/>
          <wp:cNvGraphicFramePr>
            <a:graphicFrameLocks noChangeAspect="1"/>
          </wp:cNvGraphicFramePr>
          <a:graphic>
            <a:graphicData uri="http://schemas.openxmlformats.org/drawingml/2006/picture">
              <pic:pic>
                <pic:nvPicPr>
                  <pic:cNvPr id="0" name="logo_uss.jpeg"/>
                  <pic:cNvPicPr/>
                </pic:nvPicPr>
                <pic:blipFill>
                  <a:blip r:embed="rId1"/>
                  <a:stretch>
                    <a:fillRect/>
                  </a:stretch>
                </pic:blipFill>
                <pic:spPr>
                  <a:xfrm>
                    <a:off x="0" y="0"/>
                    <a:ext cx="1944000" cy="661361"/>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Prelim">
    <w:name w:val="TituloPrelim"/>
    <w:basedOn w:val="Normal"/>
    <w:pPr>
      <w:keepNext/>
      <w:spacing w:before="240" w:after="240"/>
      <w:jc w:val="center"/>
    </w:pPr>
    <w:rPr>
      <w:rFonts w:ascii="Arial" w:hAnsi="Arial" w:eastAsia="Arial"/>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3.xml"/><Relationship Id="rId1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