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pStyle w:val="ListNumber"/>
        <w:spacing w:line="360" w:lineRule="auto"/>
      </w:pPr>
      <w:r>
        <w:rPr>
          <w:rFonts w:ascii="Arial" w:hAnsi="Arial"/>
          <w:sz w:val="24"/>
        </w:rPr>
        <w:t>Reconocer la estructura organizacional y las funciones del equipo de la unidad de farmacia del CESFAM Villa Nonguén.</w:t>
      </w:r>
    </w:p>
    <w:p>
      <w:pPr>
        <w:pStyle w:val="ListNumber"/>
        <w:spacing w:line="360" w:lineRule="auto"/>
      </w:pPr>
      <w:r>
        <w:rPr>
          <w:rFonts w:ascii="Arial" w:hAnsi="Arial"/>
          <w:sz w:val="24"/>
        </w:rPr>
        <w:t>Participar en los procesos técnicos de recepción, almacenamiento, fraccionamiento, reenvasado y dispensación de medicamentos de la unidad de farmacia.</w:t>
      </w:r>
    </w:p>
    <w:p>
      <w:pPr>
        <w:pStyle w:val="ListNumber"/>
        <w:spacing w:line="360" w:lineRule="auto"/>
      </w:pPr>
      <w:r>
        <w:rPr>
          <w:rFonts w:ascii="Arial" w:hAnsi="Arial"/>
          <w:sz w:val="24"/>
        </w:rPr>
        <w:t>Ejecutar actividades de Atención Farmacéutica, visitas domiciliarias y educación sanitaria orientadas al uso racional de los medicamentos.</w:t>
      </w:r>
    </w:p>
    <w:p>
      <w:pPr>
        <w:pStyle w:val="ListNumber"/>
        <w:spacing w:line="360" w:lineRule="auto"/>
      </w:pPr>
      <w:r>
        <w:rPr>
          <w:rFonts w:ascii="Arial" w:hAnsi="Arial"/>
          <w:sz w:val="24"/>
        </w:rPr>
        <w:t>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pStyle w:val="ListNumber"/>
        <w:spacing w:line="360" w:lineRule="auto"/>
      </w:pPr>
      <w:r>
        <w:rPr>
          <w:rFonts w:ascii="Arial" w:hAnsi="Arial"/>
          <w:sz w:val="24"/>
        </w:rPr>
        <w:t>Inducción y conocimiento del centro y de la unidad de farmacia.</w:t>
      </w:r>
    </w:p>
    <w:p>
      <w:pPr>
        <w:pStyle w:val="ListNumber"/>
        <w:spacing w:line="360" w:lineRule="auto"/>
      </w:pPr>
      <w:r>
        <w:rPr>
          <w:rFonts w:ascii="Arial" w:hAnsi="Arial"/>
          <w:sz w:val="24"/>
        </w:rPr>
        <w:t>Recepción, almacenamiento y gestión del stock de medicamentos.</w:t>
      </w:r>
    </w:p>
    <w:p>
      <w:pPr>
        <w:pStyle w:val="ListNumber"/>
        <w:spacing w:line="360" w:lineRule="auto"/>
      </w:pPr>
      <w:r>
        <w:rPr>
          <w:rFonts w:ascii="Arial" w:hAnsi="Arial"/>
          <w:sz w:val="24"/>
        </w:rPr>
        <w:t>Fraccionamiento y reenvasado de medicamentos.</w:t>
      </w:r>
    </w:p>
    <w:p>
      <w:pPr>
        <w:pStyle w:val="ListNumber"/>
        <w:spacing w:line="360" w:lineRule="auto"/>
      </w:pPr>
      <w:r>
        <w:rPr>
          <w:rFonts w:ascii="Arial" w:hAnsi="Arial"/>
          <w:sz w:val="24"/>
        </w:rPr>
        <w:t>Dispensación informada de medicamentos.</w:t>
      </w:r>
    </w:p>
    <w:p>
      <w:pPr>
        <w:pStyle w:val="ListNumber"/>
        <w:spacing w:line="360" w:lineRule="auto"/>
      </w:pPr>
      <w:r>
        <w:rPr>
          <w:rFonts w:ascii="Arial" w:hAnsi="Arial"/>
          <w:sz w:val="24"/>
        </w:rPr>
        <w:t>Control de indicadores y registros de despacho.</w:t>
      </w:r>
    </w:p>
    <w:p>
      <w:pPr>
        <w:pStyle w:val="ListNumber"/>
        <w:spacing w:line="360" w:lineRule="auto"/>
      </w:pPr>
      <w:r>
        <w:rPr>
          <w:rFonts w:ascii="Arial" w:hAnsi="Arial"/>
          <w:sz w:val="24"/>
        </w:rPr>
        <w:t>Atención Farmacéutica y visitas domiciliarias.</w:t>
      </w:r>
    </w:p>
    <w:p>
      <w:pPr>
        <w:pStyle w:val="ListNumber"/>
        <w:spacing w:line="360" w:lineRule="auto"/>
      </w:pPr>
      <w:r>
        <w:rPr>
          <w:rFonts w:ascii="Arial" w:hAnsi="Arial"/>
          <w:sz w:val="24"/>
        </w:rPr>
        <w:t>Educación sanitaria y promoción del uso racional de medicamentos.</w:t>
      </w:r>
    </w:p>
    <w:p>
      <w:pPr>
        <w:pStyle w:val="ListNumber"/>
        <w:spacing w:line="360" w:lineRule="auto"/>
      </w:pPr>
      <w:r>
        <w:rPr>
          <w:rFonts w:ascii="Arial" w:hAnsi="Arial"/>
          <w:sz w:val="24"/>
        </w:rPr>
        <w:t>Manejo de medicamentos sujetos a control legal.</w:t>
      </w:r>
    </w:p>
    <w:p>
      <w:pPr>
        <w:pStyle w:val="ListNumber"/>
        <w:spacing w:line="360" w:lineRule="auto"/>
      </w:pPr>
      <w:r>
        <w:rPr>
          <w:rFonts w:ascii="Arial" w:hAnsi="Arial"/>
          <w:sz w:val="24"/>
        </w:rPr>
        <w:t>Inventario y ordenamiento de bodega.</w:t>
      </w:r>
    </w:p>
    <w:p>
      <w:pPr>
        <w:pStyle w:val="ListNumber"/>
        <w:spacing w:line="360" w:lineRule="auto"/>
      </w:pPr>
      <w:r>
        <w:rPr>
          <w:rFonts w:ascii="Arial" w:hAnsi="Arial"/>
          <w:sz w:val="24"/>
        </w:rPr>
        <w:t>Eliminación de medicamentos vencidos, en mal estado o sin rotulación adecuada.</w:t>
      </w:r>
    </w:p>
    <w:p>
      <w:pPr>
        <w:pStyle w:val="ListNumber"/>
        <w:spacing w:line="360" w:lineRule="auto"/>
      </w:pPr>
      <w:r>
        <w:rPr>
          <w:rFonts w:ascii="Arial" w:hAnsi="Arial"/>
          <w:sz w:val="24"/>
        </w:rPr>
        <w:t>Apoyo en las supervisiones del Servicio de Salud.</w:t>
      </w:r>
    </w:p>
    <w:p>
      <w:pPr>
        <w:pStyle w:val="ListNumber"/>
        <w:spacing w:line="360" w:lineRule="auto"/>
      </w:pPr>
      <w:r>
        <w:rPr>
          <w:rFonts w:ascii="Arial" w:hAnsi="Arial"/>
          <w:sz w:val="24"/>
        </w:rPr>
        <w:t>Conocimiento del arsenal farmacoterapéutico, los programas ministeriales (GES) y las fuentes de información de medicamentos.</w:t>
      </w:r>
    </w:p>
    <w:p>
      <w:pPr>
        <w:pStyle w:val="ListNumber"/>
        <w:spacing w:line="360" w:lineRule="auto"/>
      </w:pPr>
      <w:r>
        <w:rPr>
          <w:rFonts w:ascii="Arial" w:hAnsi="Arial"/>
          <w:sz w:val="24"/>
        </w:rPr>
        <w:t>Vinculación con el medio.</w:t>
      </w:r>
    </w:p>
    <w:p>
      <w:pPr>
        <w:pStyle w:val="ListNumber"/>
        <w:spacing w:line="360" w:lineRule="auto"/>
      </w:pPr>
      <w:r>
        <w:rPr>
          <w:rFonts w:ascii="Arial" w:hAnsi="Arial"/>
          <w:sz w:val="24"/>
        </w:rPr>
        <w:t>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000000"/>
          <w:sz w:val="22"/>
        </w:rPr>
        <w:t>[ Espacio reservado para insertar aquí la Carta Gantt ]</w:t>
        <w:br/>
        <w:br/>
        <w:br/>
        <w:br/>
        <w:br/>
        <w:br/>
      </w:r>
      <w:r>
        <w:rPr>
          <w:rFonts w:ascii="Arial" w:hAnsi="Arial"/>
          <w:i/>
          <w:color w:val="000000"/>
          <w:sz w:val="20"/>
        </w:rPr>
        <w:t>Archivo fig_gantt_planificada.png (alta resolución) o fig_gantt_planificada.pdf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000000"/>
          <w:sz w:val="22"/>
        </w:rPr>
        <w:t>[ Espacio reservado para insertar aquí la Carta Gantt ]</w:t>
        <w:br/>
        <w:br/>
        <w:br/>
        <w:br/>
        <w:br/>
        <w:br/>
      </w:r>
      <w:r>
        <w:rPr>
          <w:rFonts w:ascii="Arial" w:hAnsi="Arial"/>
          <w:i/>
          <w:color w:val="000000"/>
          <w:sz w:val="20"/>
        </w:rPr>
        <w:t>Archivo fig_gantt_desarrollada.png (alta resolución) o fig_gantt_desarrollada.pdf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1</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cambio de vildagliptina</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2.3.8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como ocurrió con el reemplazo de la vildagliptina por otra alternativa dentro del mismo grupo.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 Esta actividad aporta al segundo y al tercer objetivo específico, ya que combina la gestión del arsenal con el uso seguro y racional de los medicamentos.</w:t>
      </w:r>
    </w:p>
    <w:p>
      <w:pPr>
        <w:pStyle w:val="Heading3"/>
      </w:pPr>
      <w:r>
        <w:t>2.3.9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 Esta actividad responde al segundo objetivo específico.</w:t>
      </w:r>
    </w:p>
    <w:p>
      <w:pPr>
        <w:pStyle w:val="Heading3"/>
      </w:pPr>
      <w:r>
        <w:t>2.3.10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 y responde al segundo objetivo específico.</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pStyle w:val="ListNumber"/>
        <w:spacing w:line="360" w:lineRule="auto"/>
      </w:pPr>
      <w:r>
        <w:rPr>
          <w:rFonts w:ascii="Arial" w:hAnsi="Arial"/>
          <w:sz w:val="24"/>
        </w:rPr>
        <w:t>Ampliar el espacio físico de la farmacia y de la bodega, aumentar el número de ventanillas de atención y habilitar un área de espera más cómoda, de modo de responder al crecimiento sostenido de la población inscrita.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como aporte original surgido del seminario de título.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para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pStyle w:val="ListNumber"/>
        <w:spacing w:line="360" w:lineRule="auto"/>
      </w:pPr>
      <w:r>
        <w:rPr>
          <w:rFonts w:ascii="Arial" w:hAnsi="Arial"/>
          <w:sz w:val="24"/>
        </w:rPr>
        <w:t>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como seminario de título, un protocolo de Atención Farmacéutica domiciliaria basado en el Modelo CMO, que aporta una herramienta concreta para ordenar, estandarizar y hacer trazable la visita domiciliaria en el establecimiento.</w:t>
      </w:r>
    </w:p>
    <w:p>
      <w:pPr>
        <w:pStyle w:val="ListNumber"/>
        <w:spacing w:line="360" w:lineRule="auto"/>
      </w:pPr>
      <w:r>
        <w:rPr>
          <w:rFonts w:ascii="Arial" w:hAnsi="Arial"/>
          <w:sz w:val="24"/>
        </w:rPr>
        <w:t>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