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200"/>
        <w:jc w:val="left"/>
      </w:pPr>
      <w:r>
        <w:rPr>
          <w:rFonts w:ascii="Arial" w:hAnsi="Arial"/>
          <w:b/>
          <w:sz w:val="28"/>
        </w:rPr>
        <w:t>FACULTAD DE CIENCIAS</w:t>
      </w:r>
    </w:p>
    <w:p>
      <w:pPr>
        <w:spacing w:line="360" w:lineRule="auto" w:after="80" w:before="0"/>
        <w:jc w:val="left"/>
      </w:pPr>
      <w:r>
        <w:rPr>
          <w:rFonts w:ascii="Arial" w:hAnsi="Arial"/>
          <w:b/>
          <w:sz w:val="28"/>
        </w:rPr>
        <w:t>ESCUELA DE QUÍMICA Y FARMACIA</w:t>
      </w:r>
    </w:p>
    <w:p>
      <w:pPr>
        <w:spacing w:line="360" w:lineRule="auto" w:after="80" w:before="0"/>
        <w:jc w:val="left"/>
      </w:pPr>
      <w:r>
        <w:rPr>
          <w:rFonts w:ascii="Arial" w:hAnsi="Arial"/>
          <w:b/>
          <w:sz w:val="28"/>
        </w:rPr>
        <w:t>SEDE CONCEPCIÓN</w:t>
      </w:r>
    </w:p>
    <w:p>
      <w:pPr>
        <w:spacing w:line="360" w:lineRule="auto" w:after="1080" w:before="2400"/>
        <w:jc w:val="center"/>
      </w:pPr>
      <w:r>
        <w:rPr>
          <w:rFonts w:ascii="Arial" w:hAnsi="Arial"/>
          <w:b/>
          <w:i w:val="0"/>
          <w:color w:val="000000"/>
          <w:sz w:val="28"/>
        </w:rPr>
        <w:t>Informe de Internado en Farmacia Asistencial y Atención Primaria de Salud</w:t>
      </w:r>
    </w:p>
    <w:p>
      <w:pPr>
        <w:spacing w:line="360" w:lineRule="auto" w:after="40" w:before="0"/>
        <w:jc w:val="center"/>
      </w:pPr>
      <w:r>
        <w:rPr>
          <w:rFonts w:ascii="Arial" w:hAnsi="Arial"/>
          <w:b w:val="0"/>
          <w:i w:val="0"/>
          <w:color w:val="000000"/>
          <w:sz w:val="24"/>
        </w:rPr>
        <w:t>Lugar de Internado</w:t>
      </w:r>
    </w:p>
    <w:p>
      <w:pPr>
        <w:spacing w:line="360" w:lineRule="auto" w:after="880" w:before="0"/>
        <w:jc w:val="center"/>
      </w:pPr>
      <w:r>
        <w:rPr>
          <w:rFonts w:ascii="Arial" w:hAnsi="Arial"/>
          <w:b/>
          <w:i w:val="0"/>
          <w:color w:val="000000"/>
          <w:sz w:val="26"/>
        </w:rPr>
        <w:t>Centro de Salud Familiar Villa Nonguén, Concepción</w:t>
      </w:r>
    </w:p>
    <w:p>
      <w:pPr>
        <w:spacing w:line="360" w:lineRule="auto" w:after="120" w:before="0"/>
        <w:jc w:val="center"/>
      </w:pPr>
      <w:r>
        <w:rPr>
          <w:rFonts w:ascii="Arial" w:hAnsi="Arial"/>
          <w:b w:val="0"/>
          <w:i w:val="0"/>
          <w:color w:val="000000"/>
          <w:sz w:val="24"/>
        </w:rPr>
        <w:t>Estudiante: Bastián Alonso Espinoza Palma</w:t>
      </w:r>
    </w:p>
    <w:p>
      <w:pPr>
        <w:spacing w:line="360" w:lineRule="auto" w:after="120" w:before="0"/>
        <w:jc w:val="center"/>
      </w:pPr>
      <w:r>
        <w:rPr>
          <w:rFonts w:ascii="Arial" w:hAnsi="Arial"/>
          <w:b w:val="0"/>
          <w:i w:val="0"/>
          <w:color w:val="000000"/>
          <w:sz w:val="24"/>
        </w:rPr>
        <w:t>Docente Tutor: Q.F. de la Unidad de Farmacia, CESFAM Villa Nonguén</w:t>
      </w:r>
    </w:p>
    <w:p>
      <w:pPr>
        <w:spacing w:line="360" w:lineRule="auto" w:after="960" w:before="0"/>
        <w:jc w:val="center"/>
      </w:pPr>
      <w:r>
        <w:rPr>
          <w:rFonts w:ascii="Arial" w:hAnsi="Arial"/>
          <w:b w:val="0"/>
          <w:i w:val="0"/>
          <w:color w:val="000000"/>
          <w:sz w:val="24"/>
        </w:rPr>
        <w:t>Docente Supervisor: Escuela de Química y Farmacia, USS</w:t>
      </w:r>
    </w:p>
    <w:p>
      <w:pPr>
        <w:spacing w:line="360" w:lineRule="auto" w:after="40" w:before="0"/>
        <w:jc w:val="center"/>
      </w:pPr>
      <w:r>
        <w:rPr>
          <w:rFonts w:ascii="Arial" w:hAnsi="Arial"/>
          <w:b w:val="0"/>
          <w:i w:val="0"/>
          <w:color w:val="000000"/>
          <w:sz w:val="24"/>
        </w:rPr>
        <w:t>Concepción, Chile</w:t>
      </w:r>
    </w:p>
    <w:p>
      <w:pPr>
        <w:spacing w:line="360" w:lineRule="auto" w:after="120" w:before="0"/>
        <w:jc w:val="center"/>
      </w:pPr>
      <w:r>
        <w:rPr>
          <w:rFonts w:ascii="Arial" w:hAnsi="Arial"/>
          <w:b w:val="0"/>
          <w:i w:val="0"/>
          <w:color w:val="000000"/>
          <w:sz w:val="24"/>
        </w:rPr>
        <w:t>2026</w:t>
      </w:r>
    </w:p>
    <w:p>
      <w:pPr>
        <w:sectPr>
          <w:headerReference w:type="first" r:id="rId9"/>
          <w:headerReference w:type="default" r:id="rId10"/>
          <w:footerReference w:type="default" r:id="rId13"/>
          <w:pgSz w:w="12240" w:h="15840"/>
          <w:pgMar w:top="1417" w:right="1417" w:bottom="1417" w:left="2268" w:header="709" w:footer="720" w:gutter="0"/>
          <w:cols w:space="720"/>
          <w:titlePg/>
          <w:docGrid w:linePitch="360"/>
        </w:sectPr>
      </w:pPr>
    </w:p>
    <w:p>
      <w:pPr>
        <w:pStyle w:val="TituloPrelim"/>
      </w:pPr>
      <w:r>
        <w:rPr>
          <w:rFonts w:ascii="Arial" w:hAnsi="Arial"/>
          <w:b/>
          <w:sz w:val="24"/>
        </w:rPr>
        <w:t>TABLA DE CONTENIDOS</w:t>
      </w:r>
    </w:p>
    <w:p>
      <w:r>
        <w:fldChar w:fldCharType="begin"/>
      </w:r>
      <w:r>
        <w:instrText xml:space="preserve"> TOC \o "1-2" \h \z \u </w:instrText>
      </w:r>
      <w:r>
        <w:fldChar w:fldCharType="separate"/>
      </w:r>
      <w:r>
        <w:t>Actualice este campo en Word: seleccione todo (Ctrl+E) y presione F9.</w:t>
      </w:r>
      <w:r>
        <w:fldChar w:fldCharType="end"/>
      </w:r>
    </w:p>
    <w:p>
      <w:r>
        <w:br w:type="page"/>
      </w:r>
    </w:p>
    <w:p>
      <w:pPr>
        <w:pStyle w:val="TituloPrelim"/>
      </w:pPr>
      <w:r>
        <w:rPr>
          <w:rFonts w:ascii="Arial" w:hAnsi="Arial"/>
          <w:b/>
          <w:sz w:val="24"/>
        </w:rPr>
        <w:t>ÍNDICE DE TABLAS</w:t>
      </w:r>
    </w:p>
    <w:p>
      <w:r>
        <w:fldChar w:fldCharType="begin"/>
      </w:r>
      <w:r>
        <w:instrText xml:space="preserve"> TOC \h \z \c "Tabla" </w:instrText>
      </w:r>
      <w:r>
        <w:fldChar w:fldCharType="separate"/>
      </w:r>
      <w:r>
        <w:t>Actualice este campo en Word (F9).</w:t>
      </w:r>
      <w:r>
        <w:fldChar w:fldCharType="end"/>
      </w:r>
    </w:p>
    <w:p>
      <w:pPr>
        <w:pStyle w:val="TituloPrelim"/>
      </w:pPr>
      <w:r>
        <w:rPr>
          <w:rFonts w:ascii="Arial" w:hAnsi="Arial"/>
          <w:b/>
          <w:sz w:val="24"/>
        </w:rPr>
        <w:t>ÍNDICE DE FIGURAS</w:t>
      </w:r>
    </w:p>
    <w:p>
      <w:r>
        <w:fldChar w:fldCharType="begin"/>
      </w:r>
      <w:r>
        <w:instrText xml:space="preserve"> TOC \h \z \c "Figura" </w:instrText>
      </w:r>
      <w:r>
        <w:fldChar w:fldCharType="separate"/>
      </w:r>
      <w:r>
        <w:t>Actualice este campo en Word (F9).</w:t>
      </w:r>
      <w:r>
        <w:fldChar w:fldCharType="end"/>
      </w:r>
    </w:p>
    <w:p>
      <w:r>
        <w:br w:type="page"/>
      </w:r>
    </w:p>
    <w:p>
      <w:pPr>
        <w:pStyle w:val="TituloPrelim"/>
      </w:pPr>
      <w:r>
        <w:rPr>
          <w:rFonts w:ascii="Arial" w:hAnsi="Arial"/>
          <w:b/>
          <w:sz w:val="24"/>
        </w:rP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pPr>
        <w:sectPr>
          <w:headerReference w:type="default" r:id="rId11"/>
          <w:headerReference w:type="first" r:id="rId12"/>
          <w:footerReference w:type="default" r:id="rId14"/>
          <w:pgSz w:w="12240" w:h="15840"/>
          <w:pgMar w:top="1417" w:right="1417" w:bottom="1417" w:left="2268" w:header="709" w:footer="720" w:gutter="0"/>
          <w:cols w:space="720"/>
          <w:docGrid w:linePitch="360"/>
          <w:pgNumType w:fmt="lowerRoman" w:start="1"/>
        </w:sectPr>
      </w:pPr>
    </w:p>
    <w:p>
      <w:pPr>
        <w:pStyle w:val="Heading1"/>
      </w:pPr>
      <w:r>
        <w:t>1. INTRODUCCIÓN</w:t>
      </w:r>
    </w:p>
    <w:p>
      <w:pPr>
        <w:jc w:val="both"/>
      </w:pPr>
      <w:r>
        <w:rPr>
          <w:rFonts w:ascii="Arial" w:hAnsi="Arial"/>
          <w:b w:val="0"/>
          <w:i w:val="0"/>
          <w:sz w:val="24"/>
        </w:rPr>
        <w:t>El presente informe reúne la experiencia desarrollada durante el Internado en Farmacia Asistencial y Atención Primaria de Salud, realizado en la unidad de farmacia del Centro de Salud Familiar (CESFAM) Villa Nonguén, en la comuna de Concepción, Región del Biobío, entre el 11 de mayo y el 10 de julio de 2026.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1.1 Aspectos generales del centro de internado</w:t>
      </w:r>
    </w:p>
    <w:p>
      <w:pPr>
        <w:jc w:val="both"/>
      </w:pPr>
      <w:r>
        <w:rPr>
          <w:rFonts w:ascii="Arial" w:hAnsi="Arial"/>
          <w:b w:val="0"/>
          <w:i w:val="0"/>
          <w:sz w:val="24"/>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apoyo de la cooperación internacional, elaboraron un proyecto de salud comunitaria para el sector. El establecimiento inició sus funciones asistenciales en 1991 y, en 1993, fue seleccionado por el Ministerio de Salud como uno de los centros pioneros en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pPr>
        <w:jc w:val="both"/>
      </w:pPr>
      <w:r>
        <w:rPr>
          <w:rFonts w:ascii="Arial" w:hAnsi="Arial"/>
          <w:b w:val="0"/>
          <w:i w:val="0"/>
          <w:sz w:val="24"/>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line="240" w:lineRule="auto"/>
              <w:jc w:val="left"/>
            </w:pPr>
            <w:r/>
            <w:r>
              <w:rPr>
                <w:rFonts w:ascii="Arial" w:hAnsi="Arial"/>
                <w:sz w:val="20"/>
              </w:rPr>
              <w:t>Dependencia administrativa</w:t>
            </w:r>
          </w:p>
        </w:tc>
        <w:tc>
          <w:tcPr>
            <w:tcW w:type="dxa" w:w="5386"/>
          </w:tcPr>
          <w:p>
            <w:pPr>
              <w:spacing w:after="40" w:line="240" w:lineRule="auto"/>
              <w:jc w:val="left"/>
            </w:pPr>
            <w:r/>
            <w:r>
              <w:rPr>
                <w:rFonts w:ascii="Arial" w:hAnsi="Arial"/>
                <w:sz w:val="20"/>
              </w:rPr>
              <w:t>Administración delegada, COSADES, Servicio de Salud Concepción</w:t>
            </w:r>
          </w:p>
        </w:tc>
      </w:tr>
      <w:tr>
        <w:tc>
          <w:tcPr>
            <w:tcW w:type="dxa" w:w="3118"/>
          </w:tcPr>
          <w:p>
            <w:pPr>
              <w:spacing w:after="40" w:line="240" w:lineRule="auto"/>
              <w:jc w:val="left"/>
            </w:pPr>
            <w:r/>
            <w:r>
              <w:rPr>
                <w:rFonts w:ascii="Arial" w:hAnsi="Arial"/>
                <w:sz w:val="20"/>
              </w:rPr>
              <w:t>Nivel de atención</w:t>
            </w:r>
          </w:p>
        </w:tc>
        <w:tc>
          <w:tcPr>
            <w:tcW w:type="dxa" w:w="5386"/>
          </w:tcPr>
          <w:p>
            <w:pPr>
              <w:spacing w:after="40" w:line="240" w:lineRule="auto"/>
              <w:jc w:val="left"/>
            </w:pPr>
            <w:r/>
            <w:r>
              <w:rPr>
                <w:rFonts w:ascii="Arial" w:hAnsi="Arial"/>
                <w:sz w:val="20"/>
              </w:rPr>
              <w:t>Primario (Atención Primaria de Salud)</w:t>
            </w:r>
          </w:p>
        </w:tc>
      </w:tr>
      <w:tr>
        <w:tc>
          <w:tcPr>
            <w:tcW w:type="dxa" w:w="3118"/>
          </w:tcPr>
          <w:p>
            <w:pPr>
              <w:spacing w:after="40" w:line="240" w:lineRule="auto"/>
              <w:jc w:val="left"/>
            </w:pPr>
            <w:r/>
            <w:r>
              <w:rPr>
                <w:rFonts w:ascii="Arial" w:hAnsi="Arial"/>
                <w:sz w:val="20"/>
              </w:rPr>
              <w:t>Dirección</w:t>
            </w:r>
          </w:p>
        </w:tc>
        <w:tc>
          <w:tcPr>
            <w:tcW w:type="dxa" w:w="5386"/>
          </w:tcPr>
          <w:p>
            <w:pPr>
              <w:spacing w:after="40" w:line="240" w:lineRule="auto"/>
              <w:jc w:val="left"/>
            </w:pPr>
            <w:r/>
            <w:r>
              <w:rPr>
                <w:rFonts w:ascii="Arial" w:hAnsi="Arial"/>
                <w:sz w:val="20"/>
              </w:rPr>
              <w:t>Río Loa 1397, Villa Nonguén, Concepción, Región del Biobío</w:t>
            </w:r>
          </w:p>
        </w:tc>
      </w:tr>
      <w:tr>
        <w:tc>
          <w:tcPr>
            <w:tcW w:type="dxa" w:w="3118"/>
          </w:tcPr>
          <w:p>
            <w:pPr>
              <w:spacing w:after="40" w:line="240" w:lineRule="auto"/>
              <w:jc w:val="left"/>
            </w:pPr>
            <w:r/>
            <w:r>
              <w:rPr>
                <w:rFonts w:ascii="Arial" w:hAnsi="Arial"/>
                <w:sz w:val="20"/>
              </w:rPr>
              <w:t>Población inscrita validada</w:t>
            </w:r>
          </w:p>
        </w:tc>
        <w:tc>
          <w:tcPr>
            <w:tcW w:type="dxa" w:w="5386"/>
          </w:tcPr>
          <w:p>
            <w:pPr>
              <w:spacing w:after="40" w:line="240" w:lineRule="auto"/>
              <w:jc w:val="left"/>
            </w:pPr>
            <w:r/>
            <w:r>
              <w:rPr>
                <w:rFonts w:ascii="Arial" w:hAnsi="Arial"/>
                <w:sz w:val="20"/>
              </w:rPr>
              <w:t>16.760 personas aproximadamente</w:t>
            </w:r>
          </w:p>
        </w:tc>
      </w:tr>
      <w:tr>
        <w:tc>
          <w:tcPr>
            <w:tcW w:type="dxa" w:w="3118"/>
          </w:tcPr>
          <w:p>
            <w:pPr>
              <w:spacing w:after="40" w:line="240" w:lineRule="auto"/>
              <w:jc w:val="left"/>
            </w:pPr>
            <w:r/>
            <w:r>
              <w:rPr>
                <w:rFonts w:ascii="Arial" w:hAnsi="Arial"/>
                <w:sz w:val="20"/>
              </w:rPr>
              <w:t>Familias registradas</w:t>
            </w:r>
          </w:p>
        </w:tc>
        <w:tc>
          <w:tcPr>
            <w:tcW w:type="dxa" w:w="5386"/>
          </w:tcPr>
          <w:p>
            <w:pPr>
              <w:spacing w:after="40" w:line="240" w:lineRule="auto"/>
              <w:jc w:val="left"/>
            </w:pPr>
            <w:r/>
            <w:r>
              <w:rPr>
                <w:rFonts w:ascii="Arial" w:hAnsi="Arial"/>
                <w:sz w:val="20"/>
              </w:rPr>
              <w:t>5.560 (promedio de 3,1 integrantes por familia)</w:t>
            </w:r>
          </w:p>
        </w:tc>
      </w:tr>
      <w:tr>
        <w:tc>
          <w:tcPr>
            <w:tcW w:type="dxa" w:w="3118"/>
          </w:tcPr>
          <w:p>
            <w:pPr>
              <w:spacing w:after="40" w:line="240" w:lineRule="auto"/>
              <w:jc w:val="left"/>
            </w:pPr>
            <w:r/>
            <w:r>
              <w:rPr>
                <w:rFonts w:ascii="Arial" w:hAnsi="Arial"/>
                <w:sz w:val="20"/>
              </w:rPr>
              <w:t>Sectorización</w:t>
            </w:r>
          </w:p>
        </w:tc>
        <w:tc>
          <w:tcPr>
            <w:tcW w:type="dxa" w:w="5386"/>
          </w:tcPr>
          <w:p>
            <w:pPr>
              <w:spacing w:after="40" w:line="240" w:lineRule="auto"/>
              <w:jc w:val="left"/>
            </w:pPr>
            <w:r/>
            <w:r>
              <w:rPr>
                <w:rFonts w:ascii="Arial" w:hAnsi="Arial"/>
                <w:sz w:val="20"/>
              </w:rPr>
              <w:t>Cuatro sectores: verde, azul, café y blanco</w:t>
            </w:r>
          </w:p>
        </w:tc>
      </w:tr>
      <w:tr>
        <w:tc>
          <w:tcPr>
            <w:tcW w:type="dxa" w:w="3118"/>
          </w:tcPr>
          <w:p>
            <w:pPr>
              <w:spacing w:after="40" w:line="240" w:lineRule="auto"/>
              <w:jc w:val="left"/>
            </w:pPr>
            <w:r/>
            <w:r>
              <w:rPr>
                <w:rFonts w:ascii="Arial" w:hAnsi="Arial"/>
                <w:sz w:val="20"/>
              </w:rPr>
              <w:t>Dotación total</w:t>
            </w:r>
          </w:p>
        </w:tc>
        <w:tc>
          <w:tcPr>
            <w:tcW w:type="dxa" w:w="5386"/>
          </w:tcPr>
          <w:p>
            <w:pPr>
              <w:spacing w:after="40" w:line="240" w:lineRule="auto"/>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2</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line="240" w:lineRule="auto"/>
              <w:jc w:val="left"/>
            </w:pPr>
            <w:r/>
            <w:r>
              <w:rPr>
                <w:rFonts w:ascii="Arial" w:hAnsi="Arial"/>
                <w:sz w:val="20"/>
              </w:rPr>
              <w:t>Médico</w:t>
            </w:r>
          </w:p>
        </w:tc>
        <w:tc>
          <w:tcPr>
            <w:tcW w:type="dxa" w:w="1077"/>
          </w:tcPr>
          <w:p>
            <w:pPr>
              <w:spacing w:after="40" w:line="240" w:lineRule="auto"/>
              <w:jc w:val="left"/>
            </w:pPr>
            <w:r/>
            <w:r>
              <w:rPr>
                <w:rFonts w:ascii="Arial" w:hAnsi="Arial"/>
                <w:sz w:val="20"/>
              </w:rPr>
              <w:t>14</w:t>
            </w:r>
          </w:p>
        </w:tc>
        <w:tc>
          <w:tcPr>
            <w:tcW w:type="dxa" w:w="3175"/>
          </w:tcPr>
          <w:p>
            <w:pPr>
              <w:spacing w:after="40" w:line="240" w:lineRule="auto"/>
              <w:jc w:val="left"/>
            </w:pPr>
            <w:r/>
            <w:r>
              <w:rPr>
                <w:rFonts w:ascii="Arial" w:hAnsi="Arial"/>
                <w:sz w:val="20"/>
              </w:rPr>
              <w:t>Enfermera/o</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Odontólogo</w:t>
            </w:r>
          </w:p>
        </w:tc>
        <w:tc>
          <w:tcPr>
            <w:tcW w:type="dxa" w:w="1077"/>
          </w:tcPr>
          <w:p>
            <w:pPr>
              <w:spacing w:after="40" w:line="240" w:lineRule="auto"/>
              <w:jc w:val="left"/>
            </w:pPr>
            <w:r/>
            <w:r>
              <w:rPr>
                <w:rFonts w:ascii="Arial" w:hAnsi="Arial"/>
                <w:sz w:val="20"/>
              </w:rPr>
              <w:t>7</w:t>
            </w:r>
          </w:p>
        </w:tc>
        <w:tc>
          <w:tcPr>
            <w:tcW w:type="dxa" w:w="3175"/>
          </w:tcPr>
          <w:p>
            <w:pPr>
              <w:spacing w:after="40" w:line="240" w:lineRule="auto"/>
              <w:jc w:val="left"/>
            </w:pPr>
            <w:r/>
            <w:r>
              <w:rPr>
                <w:rFonts w:ascii="Arial" w:hAnsi="Arial"/>
                <w:sz w:val="20"/>
              </w:rPr>
              <w:t>Matrona</w:t>
            </w:r>
          </w:p>
        </w:tc>
        <w:tc>
          <w:tcPr>
            <w:tcW w:type="dxa" w:w="1077"/>
          </w:tcPr>
          <w:p>
            <w:pPr>
              <w:spacing w:after="40" w:line="240" w:lineRule="auto"/>
              <w:jc w:val="left"/>
            </w:pPr>
            <w:r/>
            <w:r>
              <w:rPr>
                <w:rFonts w:ascii="Arial" w:hAnsi="Arial"/>
                <w:sz w:val="20"/>
              </w:rPr>
              <w:t>8</w:t>
            </w:r>
          </w:p>
        </w:tc>
      </w:tr>
      <w:tr>
        <w:tc>
          <w:tcPr>
            <w:tcW w:type="dxa" w:w="3175"/>
          </w:tcPr>
          <w:p>
            <w:pPr>
              <w:spacing w:after="40" w:line="240" w:lineRule="auto"/>
              <w:jc w:val="left"/>
            </w:pPr>
            <w:r/>
            <w:r>
              <w:rPr>
                <w:rFonts w:ascii="Arial" w:hAnsi="Arial"/>
                <w:sz w:val="20"/>
              </w:rPr>
              <w:t>Químico Farmacéutico</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Kinesiólogo</w:t>
            </w:r>
          </w:p>
        </w:tc>
        <w:tc>
          <w:tcPr>
            <w:tcW w:type="dxa" w:w="1077"/>
          </w:tcPr>
          <w:p>
            <w:pPr>
              <w:spacing w:after="40" w:line="240" w:lineRule="auto"/>
              <w:jc w:val="left"/>
            </w:pPr>
            <w:r/>
            <w:r>
              <w:rPr>
                <w:rFonts w:ascii="Arial" w:hAnsi="Arial"/>
                <w:sz w:val="20"/>
              </w:rPr>
              <w:t>3</w:t>
            </w:r>
          </w:p>
        </w:tc>
      </w:tr>
      <w:tr>
        <w:tc>
          <w:tcPr>
            <w:tcW w:type="dxa" w:w="3175"/>
          </w:tcPr>
          <w:p>
            <w:pPr>
              <w:spacing w:after="40" w:line="240" w:lineRule="auto"/>
              <w:jc w:val="left"/>
            </w:pPr>
            <w:r/>
            <w:r>
              <w:rPr>
                <w:rFonts w:ascii="Arial" w:hAnsi="Arial"/>
                <w:sz w:val="20"/>
              </w:rPr>
              <w:t>Nutricionista</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Psicólogo</w:t>
            </w:r>
          </w:p>
        </w:tc>
        <w:tc>
          <w:tcPr>
            <w:tcW w:type="dxa" w:w="1077"/>
          </w:tcPr>
          <w:p>
            <w:pPr>
              <w:spacing w:after="40" w:line="240" w:lineRule="auto"/>
              <w:jc w:val="left"/>
            </w:pPr>
            <w:r/>
            <w:r>
              <w:rPr>
                <w:rFonts w:ascii="Arial" w:hAnsi="Arial"/>
                <w:sz w:val="20"/>
              </w:rPr>
              <w:t>6</w:t>
            </w:r>
          </w:p>
        </w:tc>
      </w:tr>
      <w:tr>
        <w:tc>
          <w:tcPr>
            <w:tcW w:type="dxa" w:w="3175"/>
          </w:tcPr>
          <w:p>
            <w:pPr>
              <w:spacing w:after="40" w:line="240" w:lineRule="auto"/>
              <w:jc w:val="left"/>
            </w:pPr>
            <w:r/>
            <w:r>
              <w:rPr>
                <w:rFonts w:ascii="Arial" w:hAnsi="Arial"/>
                <w:sz w:val="20"/>
              </w:rPr>
              <w:t>Trabajador social</w:t>
            </w:r>
          </w:p>
        </w:tc>
        <w:tc>
          <w:tcPr>
            <w:tcW w:type="dxa" w:w="1077"/>
          </w:tcPr>
          <w:p>
            <w:pPr>
              <w:spacing w:after="40" w:line="240" w:lineRule="auto"/>
              <w:jc w:val="left"/>
            </w:pPr>
            <w:r/>
            <w:r>
              <w:rPr>
                <w:rFonts w:ascii="Arial" w:hAnsi="Arial"/>
                <w:sz w:val="20"/>
              </w:rPr>
              <w:t>5</w:t>
            </w:r>
          </w:p>
        </w:tc>
        <w:tc>
          <w:tcPr>
            <w:tcW w:type="dxa" w:w="3175"/>
          </w:tcPr>
          <w:p>
            <w:pPr>
              <w:spacing w:after="40" w:line="240" w:lineRule="auto"/>
              <w:jc w:val="left"/>
            </w:pPr>
            <w:r/>
            <w:r>
              <w:rPr>
                <w:rFonts w:ascii="Arial" w:hAnsi="Arial"/>
                <w:sz w:val="20"/>
              </w:rPr>
              <w:t>Podólogo</w:t>
            </w:r>
          </w:p>
        </w:tc>
        <w:tc>
          <w:tcPr>
            <w:tcW w:type="dxa" w:w="1077"/>
          </w:tcPr>
          <w:p>
            <w:pPr>
              <w:spacing w:after="40" w:line="240" w:lineRule="auto"/>
              <w:jc w:val="left"/>
            </w:pPr>
            <w:r/>
            <w:r>
              <w:rPr>
                <w:rFonts w:ascii="Arial" w:hAnsi="Arial"/>
                <w:sz w:val="20"/>
              </w:rPr>
              <w:t>1</w:t>
            </w:r>
          </w:p>
        </w:tc>
      </w:tr>
      <w:tr>
        <w:tc>
          <w:tcPr>
            <w:tcW w:type="dxa" w:w="3175"/>
          </w:tcPr>
          <w:p>
            <w:pPr>
              <w:spacing w:after="40" w:line="240" w:lineRule="auto"/>
              <w:jc w:val="left"/>
            </w:pPr>
            <w:r/>
            <w:r>
              <w:rPr>
                <w:rFonts w:ascii="Arial" w:hAnsi="Arial"/>
                <w:sz w:val="20"/>
              </w:rPr>
              <w:t>Técnico en enfermería</w:t>
            </w:r>
          </w:p>
        </w:tc>
        <w:tc>
          <w:tcPr>
            <w:tcW w:type="dxa" w:w="1077"/>
          </w:tcPr>
          <w:p>
            <w:pPr>
              <w:spacing w:after="40" w:line="240" w:lineRule="auto"/>
              <w:jc w:val="left"/>
            </w:pPr>
            <w:r/>
            <w:r>
              <w:rPr>
                <w:rFonts w:ascii="Arial" w:hAnsi="Arial"/>
                <w:sz w:val="20"/>
              </w:rPr>
              <w:t>25</w:t>
            </w:r>
          </w:p>
        </w:tc>
        <w:tc>
          <w:tcPr>
            <w:tcW w:type="dxa" w:w="3175"/>
          </w:tcPr>
          <w:p>
            <w:pPr>
              <w:spacing w:after="40" w:line="240" w:lineRule="auto"/>
              <w:jc w:val="left"/>
            </w:pPr>
            <w:r/>
            <w:r>
              <w:rPr>
                <w:rFonts w:ascii="Arial" w:hAnsi="Arial"/>
                <w:sz w:val="20"/>
              </w:rPr>
              <w:t>Secretaria</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Auxiliar de servicios</w:t>
            </w:r>
          </w:p>
        </w:tc>
        <w:tc>
          <w:tcPr>
            <w:tcW w:type="dxa" w:w="1077"/>
          </w:tcPr>
          <w:p>
            <w:pPr>
              <w:spacing w:after="40" w:line="240" w:lineRule="auto"/>
              <w:jc w:val="left"/>
            </w:pPr>
            <w:r/>
            <w:r>
              <w:rPr>
                <w:rFonts w:ascii="Arial" w:hAnsi="Arial"/>
                <w:sz w:val="20"/>
              </w:rPr>
              <w:t>8</w:t>
            </w:r>
          </w:p>
        </w:tc>
        <w:tc>
          <w:tcPr>
            <w:tcW w:type="dxa" w:w="3175"/>
          </w:tcPr>
          <w:p>
            <w:pPr>
              <w:spacing w:after="40" w:line="240" w:lineRule="auto"/>
              <w:jc w:val="left"/>
            </w:pPr>
            <w:r/>
            <w:r>
              <w:rPr>
                <w:rFonts w:ascii="Arial" w:hAnsi="Arial"/>
                <w:sz w:val="20"/>
              </w:rPr>
              <w:t>Otros (apoyo administrativo)</w:t>
            </w:r>
          </w:p>
        </w:tc>
        <w:tc>
          <w:tcPr>
            <w:tcW w:type="dxa" w:w="1077"/>
          </w:tcPr>
          <w:p>
            <w:pPr>
              <w:spacing w:after="40" w:line="240" w:lineRule="auto"/>
              <w:jc w:val="left"/>
            </w:pPr>
            <w:r/>
            <w:r>
              <w:rPr>
                <w:rFonts w:ascii="Arial" w:hAnsi="Arial"/>
                <w:sz w:val="20"/>
              </w:rPr>
              <w:t>10</w:t>
            </w:r>
          </w:p>
        </w:tc>
      </w:tr>
    </w:tbl>
    <w:p>
      <w:pPr>
        <w:spacing w:after="200"/>
        <w:jc w:val="both"/>
      </w:pPr>
      <w:r>
        <w:rPr>
          <w:rFonts w:ascii="Arial" w:hAnsi="Arial"/>
          <w:b w:val="0"/>
          <w:i/>
          <w:sz w:val="20"/>
        </w:rPr>
        <w:t>Nota: La dotación total corresponde a 122 funcionarios. Elaboración a partir de los antecedentes entregados por el establecimiento.</w:t>
      </w:r>
    </w:p>
    <w:p>
      <w:pPr>
        <w:jc w:val="both"/>
      </w:pPr>
      <w:r>
        <w:rPr>
          <w:rFonts w:ascii="Arial" w:hAnsi="Arial"/>
          <w:b w:val="0"/>
          <w:i w:val="0"/>
          <w:sz w:val="24"/>
        </w:rPr>
        <w:t>Dentro de la población inscrita se reconocen grupos específicos que reflejan la diversidad de la comunidad, como 123 personas pertenecientes a pueblos originarios y 257 usuarios migrantes internacionales, lo que orienta una atención con enfoque intercultural e inclusivo. El nombre del sector proviene del mapudungun y significa agua que corre, en referencia a la relación histórica del territorio con su entorno natural. En cuanto a su desarrollo institucional, el centro ha consolidado la certificación del Modelo de Salud Familiar, que pasó de un 53,6% en 2015 a un 88,14% en 2018, y ha rendido procesos de acreditación en 2017 y 2025, lo que da cuenta de un trabajo sostenido por la calidad de la atención.</w:t>
      </w:r>
    </w:p>
    <w:p>
      <w:pPr>
        <w:pStyle w:val="Heading2"/>
      </w:pPr>
      <w:r>
        <w:t>1.2 Organigrama y distribución de la unidad de farmacia</w:t>
      </w:r>
    </w:p>
    <w:p>
      <w:pPr>
        <w:jc w:val="both"/>
      </w:pPr>
      <w:r>
        <w:rPr>
          <w:rFonts w:ascii="Arial" w:hAnsi="Arial"/>
          <w:b w:val="0"/>
          <w:i w:val="0"/>
          <w:sz w:val="24"/>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 con los Químicos Farmacéuticos y los técnicos que componen el equipo.</w:t>
      </w:r>
    </w:p>
    <w:p>
      <w:pPr>
        <w:spacing w:before="120" w:after="40"/>
        <w:jc w:val="center"/>
      </w:pPr>
      <w:r>
        <w:drawing>
          <wp:inline xmlns:a="http://schemas.openxmlformats.org/drawingml/2006/main" xmlns:pic="http://schemas.openxmlformats.org/drawingml/2006/picture">
            <wp:extent cx="5400000" cy="3553411"/>
            <wp:docPr id="1" name="Picture 1"/>
            <wp:cNvGraphicFramePr>
              <a:graphicFrameLocks noChangeAspect="1"/>
            </wp:cNvGraphicFramePr>
            <a:graphic>
              <a:graphicData uri="http://schemas.openxmlformats.org/drawingml/2006/picture">
                <pic:pic>
                  <pic:nvPicPr>
                    <pic:cNvPr id="0" name="fig_organigrama.png"/>
                    <pic:cNvPicPr/>
                  </pic:nvPicPr>
                  <pic:blipFill>
                    <a:blip r:embed="rId18"/>
                    <a:stretch>
                      <a:fillRect/>
                    </a:stretch>
                  </pic:blipFill>
                  <pic:spPr>
                    <a:xfrm>
                      <a:off x="0" y="0"/>
                      <a:ext cx="5400000" cy="3553411"/>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1.3 Servicios que brinda el centro</w:t>
      </w:r>
    </w:p>
    <w:p>
      <w:pPr>
        <w:jc w:val="both"/>
      </w:pPr>
      <w:r>
        <w:rPr>
          <w:rFonts w:ascii="Arial" w:hAnsi="Arial"/>
          <w:b w:val="0"/>
          <w:i w:val="0"/>
          <w:sz w:val="24"/>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w:t>
      </w:r>
    </w:p>
    <w:p>
      <w:pPr>
        <w:jc w:val="both"/>
      </w:pPr>
      <w:r>
        <w:rPr>
          <w:rFonts w:ascii="Arial" w:hAnsi="Arial"/>
          <w:b w:val="0"/>
          <w:i w:val="0"/>
          <w:sz w:val="24"/>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1.4 Marco teórico</w:t>
      </w:r>
    </w:p>
    <w:p>
      <w:pPr>
        <w:jc w:val="both"/>
      </w:pPr>
      <w:r>
        <w:rPr>
          <w:rFonts w:ascii="Arial" w:hAnsi="Arial"/>
          <w:b w:val="0"/>
          <w:i w:val="0"/>
          <w:sz w:val="24"/>
        </w:rP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Este enfoque supone un cambio respecto del modelo clásico, centrado en entregar el medicamento, hacia otro que se preocupa de lo que ocurre con ese medicamento una vez que el paciente lo lleva a su casa.</w:t>
      </w:r>
    </w:p>
    <w:p>
      <w:pPr>
        <w:jc w:val="both"/>
      </w:pPr>
      <w:r>
        <w:rPr>
          <w:rFonts w:ascii="Arial" w:hAnsi="Arial"/>
          <w:b w:val="0"/>
          <w:i w:val="0"/>
          <w:sz w:val="24"/>
        </w:rPr>
        <w:t>En la Atención Primaria chilena, la incorporación del Químico Farmacéutico a los equipos ha permitido acercar esta labor a la comunidad, con especial relevancia en las enfermedades crónicas. La Encuesta Nacional de Salud estimó que cerca del 27,6% de la población tiene sospecha de hipertensión, un 12,3% diabetes tipo 2 y alrededor del 60% algún grado de dislipidemia (Ministerio de Salud de Chile, 2017a), condiciones que se atienden principalmente a través del Programa de Salud Cardiovascular. 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Para medirla de forma sencilla se utilizan instrumentos como el test de Morisky-Green-Levine (Morisky et al., 1986), y para clasificar los problemas detectados se recurre al Tercer Consenso de Granada, que ordena los resultados negativos asociados a la medicación según si el tratamiento es necesario, efectivo y seguro (Comité de Consenso de Granada, 2007).</w:t>
      </w:r>
    </w:p>
    <w:p>
      <w:pPr>
        <w:jc w:val="both"/>
      </w:pPr>
      <w:r>
        <w:rPr>
          <w:rFonts w:ascii="Arial" w:hAnsi="Arial"/>
          <w:b w:val="0"/>
          <w:i w:val="0"/>
          <w:sz w:val="24"/>
        </w:rPr>
        <w:t>El marco que hoy se usa como referencia para modernizar la Atención Farmacéutica es el Modelo CMO, sigla de Capacidad, Motivación y Oportunidad, desarrollado en España y validado por su sociedad de farmacia hospitalaria (Calleja Hernández &amp; Morillo Verdugo, 2016). Su valor está en que ordena la atención en torno a tres ideas que pueden llevarse al domicilio del paciente. La Capacidad tiene que ver con priorizar, es decir, concentrar el tiempo en los pacientes que más lo necesitan según criterios de riesgo y complejidad (Manzano García &amp; Morillo Verdugo, 2018). La Motivación pone el foco en la relación con el paciente y en su adherencia, trabajando mediante la entrevista motivacional las creencias y dificultades que llevan a no tomar bien el tratamiento. La Oportunidad, por último, busca llegar al paciente más allá del box, en su casa o por teléfono, para resolver a tiempo lo que vaya surgiendo. Estos tres pilares son los que dan forma al protocolo desarrollado como seminario de título durante el internado, descrito en la sección 2.3.</w:t>
      </w:r>
    </w:p>
    <w:p>
      <w:pPr>
        <w:pStyle w:val="Heading2"/>
      </w:pPr>
      <w:r>
        <w:t>1.5 Terminología y definiciones</w:t>
      </w:r>
    </w:p>
    <w:p>
      <w:pPr>
        <w:jc w:val="both"/>
      </w:pPr>
      <w:r>
        <w:rPr>
          <w:rFonts w:ascii="Arial" w:hAnsi="Arial"/>
          <w:b w:val="0"/>
          <w:i w:val="0"/>
          <w:sz w:val="24"/>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Conciliación de la medicación: </w:t>
      </w:r>
      <w:r>
        <w:rPr>
          <w:rFonts w:ascii="Arial" w:hAnsi="Arial"/>
          <w:sz w:val="24"/>
        </w:rPr>
        <w:t>comparación entre la medicación que el paciente tiene indicada y la que realmente utiliza, para acordar los cambios que correspondan (Delgado et al., 2007).</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(Comité de Consenso de Granada, 2007).</w:t>
      </w:r>
    </w:p>
    <w:p>
      <w:pPr>
        <w:pStyle w:val="Heading2"/>
      </w:pPr>
      <w:r>
        <w:t>1.6 Objetivos</w:t>
      </w:r>
    </w:p>
    <w:p>
      <w:pPr>
        <w:pStyle w:val="Heading3"/>
      </w:pPr>
      <w:r>
        <w:t>1.6.1 Objetivo general</w:t>
      </w:r>
    </w:p>
    <w:p>
      <w:pPr>
        <w:jc w:val="both"/>
      </w:pPr>
      <w:r>
        <w:rPr>
          <w:rFonts w:ascii="Arial" w:hAnsi="Arial"/>
          <w:b w:val="0"/>
          <w:i w:val="0"/>
          <w:sz w:val="24"/>
        </w:rPr>
        <w:t>Desarrollar las competencias profesionales del Químico Farmacéutico en el ámbito de la farmacia asistencial y la Atención Primaria de Salud durante el internado en el CESFAM Villa Nonguén.</w:t>
      </w:r>
    </w:p>
    <w:p>
      <w:pPr>
        <w:pStyle w:val="Heading3"/>
      </w:pPr>
      <w:r>
        <w:t>1.6.2 Objetivos específicos</w:t>
      </w:r>
    </w:p>
    <w:p>
      <w:pPr>
        <w:spacing w:line="360" w:lineRule="auto" w:after="80"/>
        <w:ind w:left="567" w:hanging="340"/>
        <w:jc w:val="both"/>
      </w:pPr>
      <w:r>
        <w:rPr>
          <w:rFonts w:ascii="Arial" w:hAnsi="Arial"/>
          <w:sz w:val="24"/>
        </w:rPr>
        <w:t>1. Reconocer la estructura organizacional y las funciones del equipo de la unidad de farmacia del CESFAM Villa Nonguén.</w:t>
      </w:r>
    </w:p>
    <w:p>
      <w:pPr>
        <w:spacing w:line="360" w:lineRule="auto" w:after="80"/>
        <w:ind w:left="567" w:hanging="340"/>
        <w:jc w:val="both"/>
      </w:pPr>
      <w:r>
        <w:rPr>
          <w:rFonts w:ascii="Arial" w:hAnsi="Arial"/>
          <w:sz w:val="24"/>
        </w:rPr>
        <w:t>2. Participar en los procesos técnicos de recepción, almacenamiento, fraccionamiento, reenvasado y dispensación de medicamentos de la unidad de farmacia.</w:t>
      </w:r>
    </w:p>
    <w:p>
      <w:pPr>
        <w:spacing w:line="360" w:lineRule="auto" w:after="80"/>
        <w:ind w:left="567" w:hanging="340"/>
        <w:jc w:val="both"/>
      </w:pPr>
      <w:r>
        <w:rPr>
          <w:rFonts w:ascii="Arial" w:hAnsi="Arial"/>
          <w:sz w:val="24"/>
        </w:rPr>
        <w:t>3. Ejecutar actividades de Atención Farmacéutica, visitas domiciliarias y educación sanitaria orientadas al uso racional de los medicamentos.</w:t>
      </w:r>
    </w:p>
    <w:p>
      <w:pPr>
        <w:spacing w:line="360" w:lineRule="auto" w:after="80"/>
        <w:ind w:left="567" w:hanging="340"/>
        <w:jc w:val="both"/>
      </w:pPr>
      <w:r>
        <w:rPr>
          <w:rFonts w:ascii="Arial" w:hAnsi="Arial"/>
          <w:sz w:val="24"/>
        </w:rPr>
        <w:t>4. Diseñar un protocolo de Atención Farmacéutica domiciliaria basado en el Modelo CMO para el Programa de Salud Cardiovascular del CESFAM Villa Nonguén.</w:t>
      </w:r>
    </w:p>
    <w:p>
      <w:pPr>
        <w:pStyle w:val="Heading1"/>
      </w:pPr>
      <w:r>
        <w:t>2. ACTIVIDADES REALIZADAS</w:t>
      </w:r>
    </w:p>
    <w:p>
      <w:pPr>
        <w:jc w:val="both"/>
      </w:pPr>
      <w:r>
        <w:rPr>
          <w:rFonts w:ascii="Arial" w:hAnsi="Arial"/>
          <w:b w:val="0"/>
          <w:i w:val="0"/>
          <w:sz w:val="24"/>
        </w:rPr>
        <w:t>El internado se organizó en nueve semanas, entre el 11 de mayo y el 10 de julio de 2026. Durante ese periodo el interno rotó por las distintas tareas de la unidad de farmacia y, en paralelo, desarrolló el seminario de título. Las actividades realizadas fueron las siguientes:</w:t>
      </w:r>
    </w:p>
    <w:p>
      <w:pPr>
        <w:spacing w:line="360" w:lineRule="auto" w:after="80"/>
        <w:ind w:left="567" w:hanging="340"/>
        <w:jc w:val="both"/>
      </w:pPr>
      <w:r>
        <w:rPr>
          <w:rFonts w:ascii="Arial" w:hAnsi="Arial"/>
          <w:sz w:val="24"/>
        </w:rPr>
        <w:t>1. Inducción y conocimiento del centro y de la unidad de farmacia.</w:t>
      </w:r>
    </w:p>
    <w:p>
      <w:pPr>
        <w:spacing w:line="360" w:lineRule="auto" w:after="80"/>
        <w:ind w:left="567" w:hanging="340"/>
        <w:jc w:val="both"/>
      </w:pPr>
      <w:r>
        <w:rPr>
          <w:rFonts w:ascii="Arial" w:hAnsi="Arial"/>
          <w:sz w:val="24"/>
        </w:rPr>
        <w:t>2. Recepción, almacenamiento y gestión del stock de medicamentos.</w:t>
      </w:r>
    </w:p>
    <w:p>
      <w:pPr>
        <w:spacing w:line="360" w:lineRule="auto" w:after="80"/>
        <w:ind w:left="567" w:hanging="340"/>
        <w:jc w:val="both"/>
      </w:pPr>
      <w:r>
        <w:rPr>
          <w:rFonts w:ascii="Arial" w:hAnsi="Arial"/>
          <w:sz w:val="24"/>
        </w:rPr>
        <w:t>3. Fraccionamiento y reenvasado de medicamentos.</w:t>
      </w:r>
    </w:p>
    <w:p>
      <w:pPr>
        <w:spacing w:line="360" w:lineRule="auto" w:after="80"/>
        <w:ind w:left="567" w:hanging="340"/>
        <w:jc w:val="both"/>
      </w:pPr>
      <w:r>
        <w:rPr>
          <w:rFonts w:ascii="Arial" w:hAnsi="Arial"/>
          <w:sz w:val="24"/>
        </w:rPr>
        <w:t>4. Dispensación informada de medicamentos.</w:t>
      </w:r>
    </w:p>
    <w:p>
      <w:pPr>
        <w:spacing w:line="360" w:lineRule="auto" w:after="80"/>
        <w:ind w:left="567" w:hanging="340"/>
        <w:jc w:val="both"/>
      </w:pPr>
      <w:r>
        <w:rPr>
          <w:rFonts w:ascii="Arial" w:hAnsi="Arial"/>
          <w:sz w:val="24"/>
        </w:rPr>
        <w:t>5. Control de indicadores y registros de despacho.</w:t>
      </w:r>
    </w:p>
    <w:p>
      <w:pPr>
        <w:spacing w:line="360" w:lineRule="auto" w:after="80"/>
        <w:ind w:left="567" w:hanging="340"/>
        <w:jc w:val="both"/>
      </w:pPr>
      <w:r>
        <w:rPr>
          <w:rFonts w:ascii="Arial" w:hAnsi="Arial"/>
          <w:sz w:val="24"/>
        </w:rPr>
        <w:t>6. Atención Farmacéutica y visitas domiciliarias.</w:t>
      </w:r>
    </w:p>
    <w:p>
      <w:pPr>
        <w:spacing w:line="360" w:lineRule="auto" w:after="80"/>
        <w:ind w:left="567" w:hanging="340"/>
        <w:jc w:val="both"/>
      </w:pPr>
      <w:r>
        <w:rPr>
          <w:rFonts w:ascii="Arial" w:hAnsi="Arial"/>
          <w:sz w:val="24"/>
        </w:rPr>
        <w:t>7. Educación sanitaria y promoción del uso racional de medicamentos.</w:t>
      </w:r>
    </w:p>
    <w:p>
      <w:pPr>
        <w:spacing w:line="360" w:lineRule="auto" w:after="80"/>
        <w:ind w:left="567" w:hanging="340"/>
        <w:jc w:val="both"/>
      </w:pPr>
      <w:r>
        <w:rPr>
          <w:rFonts w:ascii="Arial" w:hAnsi="Arial"/>
          <w:sz w:val="24"/>
        </w:rPr>
        <w:t>8. Manejo de medicamentos sujetos a control legal.</w:t>
      </w:r>
    </w:p>
    <w:p>
      <w:pPr>
        <w:spacing w:line="360" w:lineRule="auto" w:after="80"/>
        <w:ind w:left="567" w:hanging="340"/>
        <w:jc w:val="both"/>
      </w:pPr>
      <w:r>
        <w:rPr>
          <w:rFonts w:ascii="Arial" w:hAnsi="Arial"/>
          <w:sz w:val="24"/>
        </w:rPr>
        <w:t>9. Inventario y ordenamiento de bodega.</w:t>
      </w:r>
    </w:p>
    <w:p>
      <w:pPr>
        <w:spacing w:line="360" w:lineRule="auto" w:after="80"/>
        <w:ind w:left="567" w:hanging="340"/>
        <w:jc w:val="both"/>
      </w:pPr>
      <w:r>
        <w:rPr>
          <w:rFonts w:ascii="Arial" w:hAnsi="Arial"/>
          <w:sz w:val="24"/>
        </w:rPr>
        <w:t>10. Eliminación de medicamentos vencidos, en mal estado o sin rotulación adecuada.</w:t>
      </w:r>
    </w:p>
    <w:p>
      <w:pPr>
        <w:spacing w:line="360" w:lineRule="auto" w:after="80"/>
        <w:ind w:left="567" w:hanging="340"/>
        <w:jc w:val="both"/>
      </w:pPr>
      <w:r>
        <w:rPr>
          <w:rFonts w:ascii="Arial" w:hAnsi="Arial"/>
          <w:sz w:val="24"/>
        </w:rPr>
        <w:t>11. Apoyo en las supervisiones del Servicio de Salud.</w:t>
      </w:r>
    </w:p>
    <w:p>
      <w:pPr>
        <w:spacing w:line="360" w:lineRule="auto" w:after="80"/>
        <w:ind w:left="567" w:hanging="340"/>
        <w:jc w:val="both"/>
      </w:pPr>
      <w:r>
        <w:rPr>
          <w:rFonts w:ascii="Arial" w:hAnsi="Arial"/>
          <w:sz w:val="24"/>
        </w:rPr>
        <w:t>12. Conocimiento del arsenal farmacoterapéutico, los programas ministeriales (GES) y las fuentes de información de medicamentos.</w:t>
      </w:r>
    </w:p>
    <w:p>
      <w:pPr>
        <w:spacing w:line="360" w:lineRule="auto" w:after="80"/>
        <w:ind w:left="567" w:hanging="340"/>
        <w:jc w:val="both"/>
      </w:pPr>
      <w:r>
        <w:rPr>
          <w:rFonts w:ascii="Arial" w:hAnsi="Arial"/>
          <w:sz w:val="24"/>
        </w:rPr>
        <w:t>13. Vinculación con el medio.</w:t>
      </w:r>
    </w:p>
    <w:p>
      <w:pPr>
        <w:spacing w:line="360" w:lineRule="auto" w:after="80"/>
        <w:ind w:left="567" w:hanging="340"/>
        <w:jc w:val="both"/>
      </w:pPr>
      <w:r>
        <w:rPr>
          <w:rFonts w:ascii="Arial" w:hAnsi="Arial"/>
          <w:sz w:val="24"/>
        </w:rPr>
        <w:t>14. Seminario de título: diseño de un protocolo de Atención Farmacéutica domiciliaria.</w:t>
      </w:r>
    </w:p>
    <w:p>
      <w:pPr>
        <w:pStyle w:val="Heading2"/>
      </w:pPr>
      <w:r>
        <w:t>2.1 Cronograma de actividades desarrolladas</w:t>
      </w:r>
    </w:p>
    <w:p>
      <w:pPr>
        <w:jc w:val="both"/>
      </w:pPr>
      <w:r>
        <w:rPr>
          <w:rFonts w:ascii="Arial" w:hAnsi="Arial"/>
          <w:b w:val="0"/>
          <w:i w:val="0"/>
          <w:sz w:val="24"/>
        </w:rPr>
        <w:t>La Figura 2 muestra, semana a semana, las actividades efectivamente desarrolladas. En términos generales, la ejecución siguió lo planificado, con algunos ajustes propios de la dinámica del establecimiento. El fraccionamiento, el reenvasado y el despacho se mantuvieron durante casi todo el periodo, ya que constituyen tareas habituales de la unidad, y la Atención Farmacéutica se realizó todas las semanas, en más de una oportunidad por semana, gracias a la muy buena disposición de los Químicos Farmacéuticos para integrar al interno a esa labor y enseñarle cómo llevarla a cabo. Hacia las últimas semanas se sumó la eliminación de medicamentos vencidos, y a lo largo de la rotación aparecieron actividades no previstas al inicio, como el apoyo durante las supervisiones del Servicio de Salud y una situación de vinculación con el medio surgida en terreno. La Tabla 3 complementa la figura con el detalle de lo realizado día a día.</w:t>
      </w:r>
    </w:p>
    <w:p>
      <w:pPr>
        <w:spacing w:before="360" w:after="120"/>
        <w:jc w:val="center"/>
        <w:pBdr>
          <w:top w:val="dashed" w:sz="6" w:space="16" w:color="808080"/>
          <w:bottom w:val="dashed" w:sz="6" w:space="16" w:color="808080"/>
          <w:left w:val="dashed" w:sz="6" w:space="16" w:color="808080"/>
          <w:right w:val="dashed" w:sz="6" w:space="16" w:color="808080"/>
        </w:pBdr>
      </w:pPr>
      <w:r>
        <w:rPr>
          <w:rFonts w:ascii="Arial" w:hAnsi="Arial"/>
          <w:i/>
          <w:color w:val="000000"/>
          <w:sz w:val="22"/>
        </w:rPr>
        <w:t>[ Espacio reservado para insertar aquí la Carta Gantt de actividades desarrolladas ]</w:t>
        <w:br/>
        <w:br/>
        <w:br/>
        <w:br/>
        <w:br/>
        <w:br/>
      </w:r>
      <w:r>
        <w:rPr>
          <w:rFonts w:ascii="Arial" w:hAnsi="Arial"/>
          <w:i/>
          <w:color w:val="000000"/>
          <w:sz w:val="20"/>
        </w:rPr>
        <w:t>Elija uno de los diseños disponibles en la carpeta recursos-informe (fig_gantt_opcion1, opcion2 u opcion3) en PNG o PDF.</w:t>
      </w:r>
    </w:p>
    <w:p>
      <w:pPr>
        <w:pStyle w:val="Caption"/>
      </w:pPr>
      <w:r>
        <w:t xml:space="preserve">Figura </w:t>
      </w:r>
      <w:r>
        <w:fldChar w:fldCharType="begin"/>
      </w:r>
      <w:r>
        <w:instrText xml:space="preserve"> SEQ Figura \* ARABIC </w:instrText>
      </w:r>
      <w:r>
        <w:fldChar w:fldCharType="separate"/>
      </w:r>
      <w:r>
        <w:t>2</w:t>
      </w:r>
      <w:r>
        <w:fldChar w:fldCharType="end"/>
      </w:r>
      <w:r>
        <w:t>. Carta Gantt de actividades desarrolladas del internado.</w:t>
      </w:r>
    </w:p>
    <w:p>
      <w:pPr>
        <w:pStyle w:val="Caption"/>
      </w:pPr>
      <w:r>
        <w:t xml:space="preserve">Tabla </w:t>
      </w:r>
      <w:r>
        <w:fldChar w:fldCharType="begin"/>
      </w:r>
      <w:r>
        <w:instrText xml:space="preserve"> SEQ Tabla \* ARABIC </w:instrText>
      </w:r>
      <w:r>
        <w:fldChar w:fldCharType="separate"/>
      </w:r>
      <w:r>
        <w:t>3</w:t>
      </w:r>
      <w:r>
        <w:fldChar w:fldCharType="end"/>
      </w:r>
      <w:r>
        <w:t>. Cronograma detallado de actividades por día y semana.</w:t>
      </w:r>
    </w:p>
    <w:tbl>
      <w:tblPr>
        <w:tblStyle w:val="TableGrid"/>
        <w:tblW w:type="auto" w:w="0"/>
        <w:jc w:val="center"/>
        <w:tblLook w:firstColumn="1" w:firstRow="1" w:lastColumn="0" w:lastRow="0" w:noHBand="0" w:noVBand="1" w:val="04A0"/>
      </w:tblPr>
      <w:tblGrid>
        <w:gridCol w:w="1426"/>
        <w:gridCol w:w="1426"/>
        <w:gridCol w:w="1426"/>
        <w:gridCol w:w="1426"/>
        <w:gridCol w:w="1426"/>
        <w:gridCol w:w="1426"/>
      </w:tblGrid>
      <w:tr>
        <w:tc>
          <w:tcPr>
            <w:tcW w:type="dxa" w:w="1134"/>
            <w:shd w:fill="D9E2F3"/>
          </w:tcPr>
          <w:p>
            <w:pPr>
              <w:jc w:val="center"/>
            </w:pPr>
            <w:r/>
            <w:r>
              <w:rPr>
                <w:rFonts w:ascii="Arial" w:hAnsi="Arial"/>
                <w:b/>
                <w:sz w:val="16"/>
              </w:rPr>
              <w:t>Semana</w:t>
            </w:r>
          </w:p>
        </w:tc>
        <w:tc>
          <w:tcPr>
            <w:tcW w:type="dxa" w:w="1474"/>
            <w:shd w:fill="D9E2F3"/>
          </w:tcPr>
          <w:p>
            <w:pPr>
              <w:jc w:val="center"/>
            </w:pPr>
            <w:r/>
            <w:r>
              <w:rPr>
                <w:rFonts w:ascii="Arial" w:hAnsi="Arial"/>
                <w:b/>
                <w:sz w:val="16"/>
              </w:rPr>
              <w:t>Lunes</w:t>
            </w:r>
          </w:p>
        </w:tc>
        <w:tc>
          <w:tcPr>
            <w:tcW w:type="dxa" w:w="1474"/>
            <w:shd w:fill="D9E2F3"/>
          </w:tcPr>
          <w:p>
            <w:pPr>
              <w:jc w:val="center"/>
            </w:pPr>
            <w:r/>
            <w:r>
              <w:rPr>
                <w:rFonts w:ascii="Arial" w:hAnsi="Arial"/>
                <w:b/>
                <w:sz w:val="16"/>
              </w:rPr>
              <w:t>Martes</w:t>
            </w:r>
          </w:p>
        </w:tc>
        <w:tc>
          <w:tcPr>
            <w:tcW w:type="dxa" w:w="1474"/>
            <w:shd w:fill="D9E2F3"/>
          </w:tcPr>
          <w:p>
            <w:pPr>
              <w:jc w:val="center"/>
            </w:pPr>
            <w:r/>
            <w:r>
              <w:rPr>
                <w:rFonts w:ascii="Arial" w:hAnsi="Arial"/>
                <w:b/>
                <w:sz w:val="16"/>
              </w:rPr>
              <w:t>Miércoles</w:t>
            </w:r>
          </w:p>
        </w:tc>
        <w:tc>
          <w:tcPr>
            <w:tcW w:type="dxa" w:w="1474"/>
            <w:shd w:fill="D9E2F3"/>
          </w:tcPr>
          <w:p>
            <w:pPr>
              <w:jc w:val="center"/>
            </w:pPr>
            <w:r/>
            <w:r>
              <w:rPr>
                <w:rFonts w:ascii="Arial" w:hAnsi="Arial"/>
                <w:b/>
                <w:sz w:val="16"/>
              </w:rPr>
              <w:t>Jueves</w:t>
            </w:r>
          </w:p>
        </w:tc>
        <w:tc>
          <w:tcPr>
            <w:tcW w:type="dxa" w:w="1474"/>
            <w:shd w:fill="D9E2F3"/>
          </w:tcPr>
          <w:p>
            <w:pPr>
              <w:jc w:val="center"/>
            </w:pPr>
            <w:r/>
            <w:r>
              <w:rPr>
                <w:rFonts w:ascii="Arial" w:hAnsi="Arial"/>
                <w:b/>
                <w:sz w:val="16"/>
              </w:rPr>
              <w:t>Viernes</w:t>
            </w:r>
          </w:p>
        </w:tc>
      </w:tr>
      <w:tr>
        <w:tc>
          <w:tcPr>
            <w:tcW w:type="dxa" w:w="1134"/>
          </w:tcPr>
          <w:p>
            <w:pPr>
              <w:spacing w:after="40" w:line="240" w:lineRule="auto"/>
              <w:jc w:val="left"/>
            </w:pPr>
            <w:r/>
            <w:r>
              <w:rPr>
                <w:rFonts w:ascii="Arial" w:hAnsi="Arial"/>
                <w:sz w:val="16"/>
              </w:rPr>
              <w:t>S1</w:t>
              <w:br/>
              <w:t>11-15 may</w:t>
            </w:r>
          </w:p>
        </w:tc>
        <w:tc>
          <w:tcPr>
            <w:tcW w:type="dxa" w:w="1474"/>
          </w:tcPr>
          <w:p>
            <w:pPr>
              <w:spacing w:after="40" w:line="240" w:lineRule="auto"/>
              <w:jc w:val="left"/>
            </w:pPr>
            <w:r/>
            <w:r>
              <w:rPr>
                <w:rFonts w:ascii="Arial" w:hAnsi="Arial"/>
                <w:sz w:val="16"/>
              </w:rPr>
              <w:t>Inducción y recorrido de la unidad</w:t>
            </w:r>
          </w:p>
        </w:tc>
        <w:tc>
          <w:tcPr>
            <w:tcW w:type="dxa" w:w="1474"/>
          </w:tcPr>
          <w:p>
            <w:pPr>
              <w:spacing w:after="40" w:line="240" w:lineRule="auto"/>
              <w:jc w:val="left"/>
            </w:pPr>
            <w:r/>
            <w:r>
              <w:rPr>
                <w:rFonts w:ascii="Arial" w:hAnsi="Arial"/>
                <w:sz w:val="16"/>
              </w:rPr>
              <w:t>Fraccionamiento y reenvasado; incorporación de vildagliptina al arsenal</w:t>
            </w:r>
          </w:p>
        </w:tc>
        <w:tc>
          <w:tcPr>
            <w:tcW w:type="dxa" w:w="1474"/>
          </w:tcPr>
          <w:p>
            <w:pPr>
              <w:spacing w:after="40" w:line="240" w:lineRule="auto"/>
              <w:jc w:val="left"/>
            </w:pPr>
            <w:r/>
            <w:r>
              <w:rPr>
                <w:rFonts w:ascii="Arial" w:hAnsi="Arial"/>
                <w:sz w:val="16"/>
              </w:rPr>
              <w:t>Control de vencimientos; indicador de despacho por sector</w:t>
            </w:r>
          </w:p>
        </w:tc>
        <w:tc>
          <w:tcPr>
            <w:tcW w:type="dxa" w:w="1474"/>
          </w:tcPr>
          <w:p>
            <w:pPr>
              <w:spacing w:after="40" w:line="240" w:lineRule="auto"/>
              <w:jc w:val="left"/>
            </w:pPr>
            <w:r/>
            <w:r>
              <w:rPr>
                <w:rFonts w:ascii="Arial" w:hAnsi="Arial"/>
                <w:sz w:val="16"/>
              </w:rPr>
              <w:t>Envasado; protocolos de emergencia; llegada de pedido; Atención Farmacéutica</w:t>
            </w:r>
          </w:p>
        </w:tc>
        <w:tc>
          <w:tcPr>
            <w:tcW w:type="dxa" w:w="1474"/>
          </w:tcPr>
          <w:p>
            <w:pPr>
              <w:spacing w:after="40" w:line="240" w:lineRule="auto"/>
              <w:jc w:val="left"/>
            </w:pPr>
            <w:r/>
            <w:r>
              <w:rPr>
                <w:rFonts w:ascii="Arial" w:hAnsi="Arial"/>
                <w:sz w:val="16"/>
              </w:rPr>
              <w:t>Seminario: revisión bibliográfica y Modelo CMO</w:t>
            </w:r>
          </w:p>
        </w:tc>
      </w:tr>
      <w:tr>
        <w:tc>
          <w:tcPr>
            <w:tcW w:type="dxa" w:w="1134"/>
          </w:tcPr>
          <w:p>
            <w:pPr>
              <w:spacing w:after="40" w:line="240" w:lineRule="auto"/>
              <w:jc w:val="left"/>
            </w:pPr>
            <w:r/>
            <w:r>
              <w:rPr>
                <w:rFonts w:ascii="Arial" w:hAnsi="Arial"/>
                <w:sz w:val="16"/>
              </w:rPr>
              <w:t>S2</w:t>
              <w:br/>
              <w:t>18-22 may</w:t>
            </w:r>
          </w:p>
        </w:tc>
        <w:tc>
          <w:tcPr>
            <w:tcW w:type="dxa" w:w="1474"/>
          </w:tcPr>
          <w:p>
            <w:pPr>
              <w:spacing w:after="40" w:line="240" w:lineRule="auto"/>
              <w:jc w:val="left"/>
            </w:pPr>
            <w:r/>
            <w:r>
              <w:rPr>
                <w:rFonts w:ascii="Arial" w:hAnsi="Arial"/>
                <w:sz w:val="16"/>
              </w:rPr>
              <w:t>Protocolo de AF y entrega a domicilio</w:t>
            </w:r>
          </w:p>
        </w:tc>
        <w:tc>
          <w:tcPr>
            <w:tcW w:type="dxa" w:w="1474"/>
          </w:tcPr>
          <w:p>
            <w:pPr>
              <w:spacing w:after="40" w:line="240" w:lineRule="auto"/>
              <w:jc w:val="left"/>
            </w:pPr>
            <w:r/>
            <w:r>
              <w:rPr>
                <w:rFonts w:ascii="Arial" w:hAnsi="Arial"/>
                <w:sz w:val="16"/>
              </w:rPr>
              <w:t>Seminario: objetivos; bolsas y pedido</w:t>
            </w:r>
          </w:p>
        </w:tc>
        <w:tc>
          <w:tcPr>
            <w:tcW w:type="dxa" w:w="1474"/>
          </w:tcPr>
          <w:p>
            <w:pPr>
              <w:spacing w:after="40" w:line="240" w:lineRule="auto"/>
              <w:jc w:val="left"/>
            </w:pPr>
            <w:r/>
            <w:r>
              <w:rPr>
                <w:rFonts w:ascii="Arial" w:hAnsi="Arial"/>
                <w:sz w:val="16"/>
              </w:rPr>
              <w:t>Fraccionamiento y reenvasado</w:t>
            </w:r>
          </w:p>
        </w:tc>
        <w:tc>
          <w:tcPr>
            <w:tcW w:type="dxa" w:w="1474"/>
          </w:tcPr>
          <w:p>
            <w:pPr>
              <w:spacing w:after="40" w:line="240" w:lineRule="auto"/>
              <w:jc w:val="left"/>
            </w:pPr>
            <w:r/>
            <w:r>
              <w:rPr>
                <w:rFonts w:ascii="Arial" w:hAnsi="Arial"/>
                <w:sz w:val="16"/>
              </w:rPr>
              <w:t>Dispensación</w:t>
            </w:r>
          </w:p>
        </w:tc>
        <w:tc>
          <w:tcPr>
            <w:tcW w:type="dxa" w:w="1474"/>
          </w:tcPr>
          <w:p>
            <w:pPr>
              <w:spacing w:after="40" w:line="240" w:lineRule="auto"/>
              <w:jc w:val="left"/>
            </w:pPr>
            <w:r/>
            <w:r>
              <w:rPr>
                <w:rFonts w:ascii="Arial" w:hAnsi="Arial"/>
                <w:sz w:val="16"/>
              </w:rPr>
              <w:t>Gestión de stock y dispensación</w:t>
            </w:r>
          </w:p>
        </w:tc>
      </w:tr>
      <w:tr>
        <w:tc>
          <w:tcPr>
            <w:tcW w:type="dxa" w:w="1134"/>
          </w:tcPr>
          <w:p>
            <w:pPr>
              <w:spacing w:after="40" w:line="240" w:lineRule="auto"/>
              <w:jc w:val="left"/>
            </w:pPr>
            <w:r/>
            <w:r>
              <w:rPr>
                <w:rFonts w:ascii="Arial" w:hAnsi="Arial"/>
                <w:sz w:val="16"/>
              </w:rPr>
              <w:t>S3</w:t>
              <w:br/>
              <w:t>25-29 may</w:t>
            </w:r>
          </w:p>
        </w:tc>
        <w:tc>
          <w:tcPr>
            <w:tcW w:type="dxa" w:w="1474"/>
          </w:tcPr>
          <w:p>
            <w:pPr>
              <w:spacing w:after="40" w:line="240" w:lineRule="auto"/>
              <w:jc w:val="left"/>
            </w:pPr>
            <w:r/>
            <w:r>
              <w:rPr>
                <w:rFonts w:ascii="Arial" w:hAnsi="Arial"/>
                <w:sz w:val="16"/>
              </w:rPr>
              <w:t>Entrega a domicilio; apoyo a adulto mayor</w:t>
            </w:r>
          </w:p>
        </w:tc>
        <w:tc>
          <w:tcPr>
            <w:tcW w:type="dxa" w:w="1474"/>
          </w:tcPr>
          <w:p>
            <w:pPr>
              <w:spacing w:after="40" w:line="240" w:lineRule="auto"/>
              <w:jc w:val="left"/>
            </w:pPr>
            <w:r/>
            <w:r>
              <w:rPr>
                <w:rFonts w:ascii="Arial" w:hAnsi="Arial"/>
                <w:sz w:val="16"/>
              </w:rPr>
              <w:t>Entrega a domicilio; objetivos del seminario</w:t>
            </w:r>
          </w:p>
        </w:tc>
        <w:tc>
          <w:tcPr>
            <w:tcW w:type="dxa" w:w="1474"/>
          </w:tcPr>
          <w:p>
            <w:pPr>
              <w:spacing w:after="40" w:line="240" w:lineRule="auto"/>
              <w:jc w:val="left"/>
            </w:pPr>
            <w:r/>
            <w:r>
              <w:rPr>
                <w:rFonts w:ascii="Arial" w:hAnsi="Arial"/>
                <w:sz w:val="16"/>
              </w:rPr>
              <w:t>Clase de bibliografía (Mendeley)</w:t>
            </w:r>
          </w:p>
        </w:tc>
        <w:tc>
          <w:tcPr>
            <w:tcW w:type="dxa" w:w="1474"/>
          </w:tcPr>
          <w:p>
            <w:pPr>
              <w:spacing w:after="40" w:line="240" w:lineRule="auto"/>
              <w:jc w:val="left"/>
            </w:pPr>
            <w:r/>
            <w:r>
              <w:rPr>
                <w:rFonts w:ascii="Arial" w:hAnsi="Arial"/>
                <w:sz w:val="16"/>
              </w:rPr>
              <w:t>Dispensación; ubicación de medicamentos</w:t>
            </w:r>
          </w:p>
        </w:tc>
        <w:tc>
          <w:tcPr>
            <w:tcW w:type="dxa" w:w="1474"/>
          </w:tcPr>
          <w:p>
            <w:pPr>
              <w:spacing w:after="40" w:line="240" w:lineRule="auto"/>
              <w:jc w:val="left"/>
            </w:pPr>
            <w:r/>
            <w:r>
              <w:rPr>
                <w:rFonts w:ascii="Arial" w:hAnsi="Arial"/>
                <w:sz w:val="16"/>
              </w:rPr>
              <w:t>Dispensación</w:t>
            </w:r>
          </w:p>
        </w:tc>
      </w:tr>
      <w:tr>
        <w:tc>
          <w:tcPr>
            <w:tcW w:type="dxa" w:w="1134"/>
          </w:tcPr>
          <w:p>
            <w:pPr>
              <w:spacing w:after="40" w:line="240" w:lineRule="auto"/>
              <w:jc w:val="left"/>
            </w:pPr>
            <w:r/>
            <w:r>
              <w:rPr>
                <w:rFonts w:ascii="Arial" w:hAnsi="Arial"/>
                <w:sz w:val="16"/>
              </w:rPr>
              <w:t>S4</w:t>
              <w:br/>
              <w:t>01-05 jun</w:t>
            </w:r>
          </w:p>
        </w:tc>
        <w:tc>
          <w:tcPr>
            <w:tcW w:type="dxa" w:w="1474"/>
          </w:tcPr>
          <w:p>
            <w:pPr>
              <w:spacing w:after="40" w:line="240" w:lineRule="auto"/>
              <w:jc w:val="left"/>
            </w:pPr>
            <w:r/>
            <w:r>
              <w:rPr>
                <w:rFonts w:ascii="Arial" w:hAnsi="Arial"/>
                <w:sz w:val="16"/>
              </w:rPr>
              <w:t>Préstamos por vencimiento</w:t>
            </w:r>
          </w:p>
        </w:tc>
        <w:tc>
          <w:tcPr>
            <w:tcW w:type="dxa" w:w="1474"/>
          </w:tcPr>
          <w:p>
            <w:pPr>
              <w:spacing w:after="40" w:line="240" w:lineRule="auto"/>
              <w:jc w:val="left"/>
            </w:pPr>
            <w:r/>
            <w:r>
              <w:rPr>
                <w:rFonts w:ascii="Arial" w:hAnsi="Arial"/>
                <w:sz w:val="16"/>
              </w:rPr>
              <w:t>Plantilla de despacho de mayo</w:t>
            </w:r>
          </w:p>
        </w:tc>
        <w:tc>
          <w:tcPr>
            <w:tcW w:type="dxa" w:w="1474"/>
          </w:tcPr>
          <w:p>
            <w:pPr>
              <w:spacing w:after="40" w:line="240" w:lineRule="auto"/>
              <w:jc w:val="left"/>
            </w:pPr>
            <w:r/>
            <w:r>
              <w:rPr>
                <w:rFonts w:ascii="Arial" w:hAnsi="Arial"/>
                <w:sz w:val="16"/>
              </w:rPr>
              <w:t>Gestión de stock y reportes</w:t>
            </w:r>
          </w:p>
        </w:tc>
        <w:tc>
          <w:tcPr>
            <w:tcW w:type="dxa" w:w="1474"/>
          </w:tcPr>
          <w:p>
            <w:pPr>
              <w:spacing w:after="40" w:line="240" w:lineRule="auto"/>
              <w:jc w:val="left"/>
            </w:pPr>
            <w:r/>
            <w:r>
              <w:rPr>
                <w:rFonts w:ascii="Arial" w:hAnsi="Arial"/>
                <w:sz w:val="16"/>
              </w:rPr>
              <w:t>Supervisión del Servicio de Salud; inducción; metodología del seminario</w:t>
            </w:r>
          </w:p>
        </w:tc>
        <w:tc>
          <w:tcPr>
            <w:tcW w:type="dxa" w:w="1474"/>
          </w:tcPr>
          <w:p>
            <w:pPr>
              <w:spacing w:after="40" w:line="240" w:lineRule="auto"/>
              <w:jc w:val="left"/>
            </w:pPr>
            <w:r/>
            <w:r>
              <w:rPr>
                <w:rFonts w:ascii="Arial" w:hAnsi="Arial"/>
                <w:sz w:val="16"/>
              </w:rPr>
              <w:t>Indicador y Atención Farmacéutica</w:t>
            </w:r>
          </w:p>
        </w:tc>
      </w:tr>
      <w:tr>
        <w:tc>
          <w:tcPr>
            <w:tcW w:type="dxa" w:w="1134"/>
          </w:tcPr>
          <w:p>
            <w:pPr>
              <w:spacing w:after="40" w:line="240" w:lineRule="auto"/>
              <w:jc w:val="left"/>
            </w:pPr>
            <w:r/>
            <w:r>
              <w:rPr>
                <w:rFonts w:ascii="Arial" w:hAnsi="Arial"/>
                <w:sz w:val="16"/>
              </w:rPr>
              <w:t>S5</w:t>
              <w:br/>
              <w:t>08-12 jun</w:t>
            </w:r>
          </w:p>
        </w:tc>
        <w:tc>
          <w:tcPr>
            <w:tcW w:type="dxa" w:w="1474"/>
          </w:tcPr>
          <w:p>
            <w:pPr>
              <w:spacing w:after="40" w:line="240" w:lineRule="auto"/>
              <w:jc w:val="left"/>
            </w:pPr>
            <w:r/>
            <w:r>
              <w:rPr>
                <w:rFonts w:ascii="Arial" w:hAnsi="Arial"/>
                <w:sz w:val="16"/>
              </w:rPr>
              <w:t>Rutina de farmacia y dispensación</w:t>
            </w:r>
          </w:p>
        </w:tc>
        <w:tc>
          <w:tcPr>
            <w:tcW w:type="dxa" w:w="1474"/>
          </w:tcPr>
          <w:p>
            <w:pPr>
              <w:spacing w:after="40" w:line="240" w:lineRule="auto"/>
              <w:jc w:val="left"/>
            </w:pPr>
            <w:r/>
            <w:r>
              <w:rPr>
                <w:rFonts w:ascii="Arial" w:hAnsi="Arial"/>
                <w:sz w:val="16"/>
              </w:rPr>
              <w:t>Inventario y ordenamiento de bodega</w:t>
            </w:r>
          </w:p>
        </w:tc>
        <w:tc>
          <w:tcPr>
            <w:tcW w:type="dxa" w:w="1474"/>
          </w:tcPr>
          <w:p>
            <w:pPr>
              <w:spacing w:after="40" w:line="240" w:lineRule="auto"/>
              <w:jc w:val="left"/>
            </w:pPr>
            <w:r/>
            <w:r>
              <w:rPr>
                <w:rFonts w:ascii="Arial" w:hAnsi="Arial"/>
                <w:sz w:val="16"/>
              </w:rPr>
              <w:t>Inspección del Servicio de Salud; avance del seminario</w:t>
            </w:r>
          </w:p>
        </w:tc>
        <w:tc>
          <w:tcPr>
            <w:tcW w:type="dxa" w:w="1474"/>
          </w:tcPr>
          <w:p>
            <w:pPr>
              <w:spacing w:after="40" w:line="240" w:lineRule="auto"/>
              <w:jc w:val="left"/>
            </w:pPr>
            <w:r/>
            <w:r>
              <w:rPr>
                <w:rFonts w:ascii="Arial" w:hAnsi="Arial"/>
                <w:sz w:val="16"/>
              </w:rPr>
              <w:t>Fraccionamiento y dispensación</w:t>
            </w:r>
          </w:p>
        </w:tc>
        <w:tc>
          <w:tcPr>
            <w:tcW w:type="dxa" w:w="1474"/>
          </w:tcPr>
          <w:p>
            <w:pPr>
              <w:spacing w:after="40" w:line="240" w:lineRule="auto"/>
              <w:jc w:val="left"/>
            </w:pPr>
            <w:r/>
            <w:r>
              <w:rPr>
                <w:rFonts w:ascii="Arial" w:hAnsi="Arial"/>
                <w:sz w:val="16"/>
              </w:rPr>
              <w:t>Bolsas fraccionadas; visita domiciliaria</w:t>
            </w:r>
          </w:p>
        </w:tc>
      </w:tr>
      <w:tr>
        <w:tc>
          <w:tcPr>
            <w:tcW w:type="dxa" w:w="1134"/>
          </w:tcPr>
          <w:p>
            <w:pPr>
              <w:spacing w:after="40" w:line="240" w:lineRule="auto"/>
              <w:jc w:val="left"/>
            </w:pPr>
            <w:r/>
            <w:r>
              <w:rPr>
                <w:rFonts w:ascii="Arial" w:hAnsi="Arial"/>
                <w:sz w:val="16"/>
              </w:rPr>
              <w:t>S6</w:t>
              <w:br/>
              <w:t>15-19 jun</w:t>
            </w:r>
          </w:p>
        </w:tc>
        <w:tc>
          <w:tcPr>
            <w:tcW w:type="dxa" w:w="1474"/>
          </w:tcPr>
          <w:p>
            <w:pPr>
              <w:spacing w:after="40" w:line="240" w:lineRule="auto"/>
              <w:jc w:val="left"/>
            </w:pPr>
            <w:r/>
            <w:r>
              <w:rPr>
                <w:rFonts w:ascii="Arial" w:hAnsi="Arial"/>
                <w:sz w:val="16"/>
              </w:rPr>
              <w:t>Llega docente supervisora; envío del avance</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Atención Farmacéutica</w:t>
            </w:r>
          </w:p>
        </w:tc>
      </w:tr>
      <w:tr>
        <w:tc>
          <w:tcPr>
            <w:tcW w:type="dxa" w:w="1134"/>
          </w:tcPr>
          <w:p>
            <w:pPr>
              <w:spacing w:after="40" w:line="240" w:lineRule="auto"/>
              <w:jc w:val="left"/>
            </w:pPr>
            <w:r/>
            <w:r>
              <w:rPr>
                <w:rFonts w:ascii="Arial" w:hAnsi="Arial"/>
                <w:sz w:val="16"/>
              </w:rPr>
              <w:t>S7</w:t>
              <w:br/>
              <w:t>22-26 jun</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Fraccionamiento y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Taller de uso racional de medicamentos</w:t>
            </w:r>
          </w:p>
        </w:tc>
      </w:tr>
      <w:tr>
        <w:tc>
          <w:tcPr>
            <w:tcW w:type="dxa" w:w="1134"/>
          </w:tcPr>
          <w:p>
            <w:pPr>
              <w:spacing w:after="40" w:line="240" w:lineRule="auto"/>
              <w:jc w:val="left"/>
            </w:pPr>
            <w:r/>
            <w:r>
              <w:rPr>
                <w:rFonts w:ascii="Arial" w:hAnsi="Arial"/>
                <w:sz w:val="16"/>
              </w:rPr>
              <w:t>S8</w:t>
              <w:br/>
              <w:t>29 jun-03 jul</w:t>
            </w:r>
          </w:p>
        </w:tc>
        <w:tc>
          <w:tcPr>
            <w:tcW w:type="dxa" w:w="1474"/>
          </w:tcPr>
          <w:p>
            <w:pPr>
              <w:spacing w:after="40" w:line="240" w:lineRule="auto"/>
              <w:jc w:val="left"/>
            </w:pPr>
            <w:r/>
            <w:r>
              <w:rPr>
                <w:rFonts w:ascii="Arial" w:hAnsi="Arial"/>
                <w:sz w:val="16"/>
              </w:rPr>
              <w:t>Rutina de farmacia y Atención Farmacéutica</w:t>
            </w:r>
          </w:p>
        </w:tc>
        <w:tc>
          <w:tcPr>
            <w:tcW w:type="dxa" w:w="1474"/>
          </w:tcPr>
          <w:p>
            <w:pPr>
              <w:spacing w:after="40" w:line="240" w:lineRule="auto"/>
              <w:jc w:val="left"/>
            </w:pPr>
            <w:r/>
            <w:r>
              <w:rPr>
                <w:rFonts w:ascii="Arial" w:hAnsi="Arial"/>
                <w:sz w:val="16"/>
              </w:rPr>
              <w:t>Jornada vespertina; cierre de farmacia</w:t>
            </w:r>
          </w:p>
        </w:tc>
        <w:tc>
          <w:tcPr>
            <w:tcW w:type="dxa" w:w="1474"/>
          </w:tcPr>
          <w:p>
            <w:pPr>
              <w:spacing w:after="40" w:line="240" w:lineRule="auto"/>
              <w:jc w:val="left"/>
            </w:pPr>
            <w:r/>
            <w:r>
              <w:rPr>
                <w:rFonts w:ascii="Arial" w:hAnsi="Arial"/>
                <w:sz w:val="16"/>
              </w:rPr>
              <w:t>Eliminación de vencidos (separación por bolsa)</w:t>
            </w:r>
          </w:p>
        </w:tc>
        <w:tc>
          <w:tcPr>
            <w:tcW w:type="dxa" w:w="1474"/>
          </w:tcPr>
          <w:p>
            <w:pPr>
              <w:spacing w:after="40" w:line="240" w:lineRule="auto"/>
              <w:jc w:val="left"/>
            </w:pPr>
            <w:r/>
            <w:r>
              <w:rPr>
                <w:rFonts w:ascii="Arial" w:hAnsi="Arial"/>
                <w:sz w:val="16"/>
              </w:rPr>
              <w:t>Salida a terreno para dejar medicamentos</w:t>
            </w:r>
          </w:p>
        </w:tc>
        <w:tc>
          <w:tcPr>
            <w:tcW w:type="dxa" w:w="1474"/>
          </w:tcPr>
          <w:p>
            <w:pPr>
              <w:spacing w:after="40" w:line="240" w:lineRule="auto"/>
              <w:jc w:val="left"/>
            </w:pPr>
            <w:r/>
            <w:r>
              <w:rPr>
                <w:rFonts w:ascii="Arial" w:hAnsi="Arial"/>
                <w:sz w:val="16"/>
              </w:rPr>
              <w:t>Avance del seminario</w:t>
            </w:r>
          </w:p>
        </w:tc>
      </w:tr>
      <w:tr>
        <w:tc>
          <w:tcPr>
            <w:tcW w:type="dxa" w:w="1134"/>
          </w:tcPr>
          <w:p>
            <w:pPr>
              <w:spacing w:after="40" w:line="240" w:lineRule="auto"/>
              <w:jc w:val="left"/>
            </w:pPr>
            <w:r/>
            <w:r>
              <w:rPr>
                <w:rFonts w:ascii="Arial" w:hAnsi="Arial"/>
                <w:sz w:val="16"/>
              </w:rPr>
              <w:t>S9</w:t>
              <w:br/>
              <w:t>06-10 jul</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Eliminación de vencidos y acta de baja</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Farmacia y fraccionamiento</w:t>
            </w:r>
          </w:p>
        </w:tc>
        <w:tc>
          <w:tcPr>
            <w:tcW w:type="dxa" w:w="1474"/>
          </w:tcPr>
          <w:p>
            <w:pPr>
              <w:spacing w:after="40" w:line="240" w:lineRule="auto"/>
              <w:jc w:val="left"/>
            </w:pPr>
            <w:r/>
            <w:r>
              <w:rPr>
                <w:rFonts w:ascii="Arial" w:hAnsi="Arial"/>
                <w:sz w:val="16"/>
              </w:rPr>
              <w:t>Atención Farmacéutica con Q.F. especialista</w:t>
            </w:r>
          </w:p>
        </w:tc>
      </w:tr>
    </w:tbl>
    <w:p>
      <w:pPr>
        <w:jc w:val="both"/>
      </w:pPr>
      <w:r>
        <w:rPr>
          <w:rFonts w:ascii="Arial" w:hAnsi="Arial"/>
          <w:b w:val="0"/>
          <w:i w:val="0"/>
          <w:sz w:val="24"/>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sin que se presentara un caso que ameritara notificar durante la estadía.</w:t>
      </w:r>
    </w:p>
    <w:p>
      <w:pPr>
        <w:pStyle w:val="Heading2"/>
      </w:pPr>
      <w:r>
        <w:t>2.2 Descripción de las actividades realizadas</w:t>
      </w:r>
    </w:p>
    <w:p>
      <w:pPr>
        <w:pStyle w:val="Heading3"/>
      </w:pPr>
      <w:r>
        <w:t>2.2.1 Inducción y conocimiento del centro y de la unidad de farmacia</w:t>
      </w:r>
    </w:p>
    <w:p>
      <w:pPr>
        <w:jc w:val="both"/>
      </w:pPr>
      <w:r>
        <w:rPr>
          <w:rFonts w:ascii="Arial" w:hAnsi="Arial"/>
          <w:b w:val="0"/>
          <w:i w:val="0"/>
          <w:sz w:val="24"/>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w:t>
      </w:r>
    </w:p>
    <w:p>
      <w:pPr>
        <w:pStyle w:val="Heading3"/>
      </w:pPr>
      <w:r>
        <w:t>2.2.2 Recepción, almacenamiento y gestión del stock</w:t>
      </w:r>
    </w:p>
    <w:p>
      <w:pPr>
        <w:jc w:val="both"/>
      </w:pPr>
      <w:r>
        <w:rPr>
          <w:rFonts w:ascii="Arial" w:hAnsi="Arial"/>
          <w:b w:val="0"/>
          <w:i w:val="0"/>
          <w:sz w:val="24"/>
        </w:rPr>
        <w:t>Se participó en la recepción y el almacenamiento de los medicamentos que llegan a la unidad, que se adquieren principalmente a través de la Central de Abastecimiento (CENABAST) y que se ordenan resguardando las condiciones de conservación de temperatura y humedad, y aplicando el criterio FEFO, es decir, lo primero que vence es lo primero que sale, para asegurar la rotación de las existencias.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w:t>
      </w:r>
    </w:p>
    <w:p>
      <w:pPr>
        <w:pStyle w:val="Heading3"/>
      </w:pPr>
      <w:r>
        <w:t>2.2.3 Fraccionamiento y reenvasado de medicamentos</w:t>
      </w:r>
    </w:p>
    <w:p>
      <w:pPr>
        <w:jc w:val="both"/>
      </w:pPr>
      <w:r>
        <w:rPr>
          <w:rFonts w:ascii="Arial" w:hAnsi="Arial"/>
          <w:b w:val="0"/>
          <w:i w:val="0"/>
          <w:sz w:val="24"/>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w:t>
      </w:r>
    </w:p>
    <w:p>
      <w:pPr>
        <w:pStyle w:val="Heading3"/>
      </w:pPr>
      <w:r>
        <w:t>2.2.4 Dispensación informada de medicamentos</w:t>
      </w:r>
    </w:p>
    <w:p>
      <w:pPr>
        <w:jc w:val="both"/>
      </w:pPr>
      <w:r>
        <w:rPr>
          <w:rFonts w:ascii="Arial" w:hAnsi="Arial"/>
          <w:b w:val="0"/>
          <w:i w:val="0"/>
          <w:sz w:val="24"/>
        </w:rPr>
        <w:t>Se apoyó la dispensación de medicamentos a los usuarios siguiendo el protocolo de despacho del establecimiento, que busca entregar el tratamiento correcto de forma ordenada y sin errores. El trabajo reforzó el reconocimiento de los principios activos, las presentaciones y su ubicación dentro de la unidad, la verificación de la receta y de los datos del paciente, y las buenas prácticas de entrega. Cada despacho se registra en el sistema informático SINET Sur, que descuenta el producto de su bincard, de modo que el stock queda actualizado y trazable en todo momento. La dispensación se acompañó de la información necesaria para el uso correcto de la terapia, verificando la indicación y resolviendo dudas de los pacientes. Este orden y esta trazabilidad, junto con el traspaso registrado de medicamentos desde la bodega a la farmacia, fueron uno de los aspectos más destacables de la unidad.</w:t>
      </w:r>
    </w:p>
    <w:p>
      <w:pPr>
        <w:pStyle w:val="Heading3"/>
      </w:pPr>
      <w:r>
        <w:t>2.2.5 Atención Farmacéutica y visitas domiciliarias</w:t>
      </w:r>
    </w:p>
    <w:p>
      <w:pPr>
        <w:jc w:val="both"/>
      </w:pPr>
      <w:r>
        <w:rPr>
          <w:rFonts w:ascii="Arial" w:hAnsi="Arial"/>
          <w:b w:val="0"/>
          <w:i w:val="0"/>
          <w:sz w:val="24"/>
        </w:rPr>
        <w:t>La Atención Farmacéutica fue una de las actividades más significativas del internado y se realizó todas las semanas, en más de una oportunidad por semana, gracias a la muy buena disposición de los Químicos Farmacéuticos, que integraron al interno a esta labor y le enseñaron cómo llevarla a cabo.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Durante una jornada vespertina se observó, además, el funcionamiento de la farmacia en el horario de la tarde y el procedimiento de cierre de la unidad.</w:t>
      </w:r>
    </w:p>
    <w:p>
      <w:pPr>
        <w:pStyle w:val="Heading3"/>
      </w:pPr>
      <w:r>
        <w:t>2.2.6 Educación sanitaria y promoción del uso racional de medicamentos</w:t>
      </w:r>
    </w:p>
    <w:p>
      <w:pPr>
        <w:jc w:val="both"/>
      </w:pPr>
      <w:r>
        <w:rPr>
          <w:rFonts w:ascii="Arial" w:hAnsi="Arial"/>
          <w:b w:val="0"/>
          <w:i w:val="0"/>
          <w:sz w:val="24"/>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acercó el rol del farmacéutico a la comunidad.</w:t>
      </w:r>
    </w:p>
    <w:p>
      <w:pPr>
        <w:pStyle w:val="Heading3"/>
      </w:pPr>
      <w:r>
        <w:t>2.2.7 Control de indicadores, inventario y supervisiones</w:t>
      </w:r>
    </w:p>
    <w:p>
      <w:pPr>
        <w:jc w:val="both"/>
      </w:pPr>
      <w:r>
        <w:rPr>
          <w:rFonts w:ascii="Arial" w:hAnsi="Arial"/>
          <w:b w:val="0"/>
          <w:i w:val="0"/>
          <w:sz w:val="24"/>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También se participó en las tareas de inventario y en el ordenamiento de la bodega, cuidando que las existencias quedaran correctamente ubicadas y que no permanecieran cajas en el piso. Durante el internado el establecimiento recibió supervisiones e inspecciones del Servicio de Salud, en cuya preparación se acompañó al equipo, lo que permitió conocer los aspectos que se evalúan en la unidad de farmacia y la relevancia de mantener los registros al día. Además, en una salida a terreno se prestó apoyo a un adulto mayor para regresar a su hogar, situación que reflejó el componente humano y comunitario del trabajo en la Atención Primaria.</w:t>
      </w:r>
    </w:p>
    <w:p>
      <w:pPr>
        <w:pStyle w:val="Heading3"/>
      </w:pPr>
      <w:r>
        <w:t>2.2.8 Arsenal farmacoterapéutico, programas ministeriales y fuentes de información</w:t>
      </w:r>
    </w:p>
    <w:p>
      <w:pPr>
        <w:jc w:val="both"/>
      </w:pPr>
      <w:r>
        <w:rPr>
          <w:rFonts w:ascii="Arial" w:hAnsi="Arial"/>
          <w:b w:val="0"/>
          <w:i w:val="0"/>
          <w:sz w:val="24"/>
        </w:rPr>
        <w:t>A lo largo del internado se conoció el arsenal farmacoterapéutico de la unidad, es decir, el listado de medicamentos disponibles en el CESFAM según la canasta de la Atención Primaria y las orientaciones del Ministerio de Salud, junto con los criterios que definen qué medicamentos se incorporan o se retiran del arsenal. Un ejemplo observado durante el internado fue la incorporación de la vildagliptina, un inhibidor de la enzima DPP-4, como una alternativa más para el tratamiento de la diabetes mellitus tipo 2, mientras que la glibenclamida, una sulfonilurea asociada a un mayor riesgo de hipoglucemia, se está retirando de forma gradual. También se conoció el manejo de los medicamentos sujetos a control legal, con su registro y custodia diferenciados, y el circuito de notificación de farmacovigilancia frente a una sospecha de reacción adversa, aunque durante la estadía no se presentó un caso que ameritara notificar. Buena parte del trabajo de la unidad se articula con los programas ministeriales y las patologías con Garantías Explícitas en Salud (GES), como la epilepsia y la tuberculosis, cuyos tratamientos se dispensan y controlan de acuerdo con cada programa. Para resolver dudas sobre los medicamentos y apoyar la Atención Farmacéutica con evidencia, se recurrió a fuentes de información confiables y actualizadas, entre ellas UpToDate, Medscape y Drugs.com, además de la normativa y las guías del Ministerio de Salud.</w:t>
      </w:r>
    </w:p>
    <w:p>
      <w:pPr>
        <w:pStyle w:val="Heading3"/>
      </w:pPr>
      <w:r>
        <w:t>2.2.9 Manejo de medicamentos sujetos a control legal</w:t>
      </w:r>
    </w:p>
    <w:p>
      <w:pPr>
        <w:jc w:val="both"/>
      </w:pPr>
      <w:r>
        <w:rPr>
          <w:rFonts w:ascii="Arial" w:hAnsi="Arial"/>
          <w:b w:val="0"/>
          <w:i w:val="0"/>
          <w:sz w:val="24"/>
        </w:rPr>
        <w:t>Se conoció el manejo de los medicamentos sujetos a control legal, es decir, los psicotrópicos y estupefacientes, que se guardan bajo llave y se registran de forma diferenciada en los libros oficiales de control. Se revisó cómo se verifican las recetas retenidas, cómo se descuentan las existencias y cómo se resguarda la trazabilidad de estos fármacos, en línea con la normativa vigente.</w:t>
      </w:r>
    </w:p>
    <w:p>
      <w:pPr>
        <w:pStyle w:val="Heading3"/>
      </w:pPr>
      <w:r>
        <w:t>2.2.10 Eliminación de medicamentos vencidos</w:t>
      </w:r>
    </w:p>
    <w:p>
      <w:pPr>
        <w:jc w:val="both"/>
      </w:pPr>
      <w:r>
        <w:rPr>
          <w:rFonts w:ascii="Arial" w:hAnsi="Arial"/>
          <w:b w:val="0"/>
          <w:i w:val="0"/>
          <w:sz w:val="24"/>
        </w:rPr>
        <w:t>Durante las dos últimas semanas del internado se participó en la eliminación de medicamentos vencidos, en mal estado o sin rotulación adecuada, siguiendo el procedimiento del establecimiento. El trabajo consistió en revisar las existencias de la farmacia y la bodega, marcar y separar los productos que debían eliminarse y llevarlos al área donde no se pueden dispensar, descontar sus saldos de la bincard en el sistema y dejar constancia en el acta de baja mensual. Los productos se acondicionan en bolsas y contenedores de residuos peligrosos para su retiro a la sala REAS, desde donde una empresa externa realiza la disposición final, y en el caso de los psicotrópicos y estupefacientes la eliminación se hace con aviso previo a la autoridad sanitaria. Esta actividad reforzó la importancia de dispensar solo productos vigentes y en buen estado.</w:t>
      </w:r>
    </w:p>
    <w:p>
      <w:pPr>
        <w:pStyle w:val="Heading2"/>
      </w:pPr>
      <w:r>
        <w:t>2.3 Seminario de título</w:t>
      </w:r>
    </w:p>
    <w:p>
      <w:pPr>
        <w:jc w:val="both"/>
      </w:pPr>
      <w:r>
        <w:rPr>
          <w:rFonts w:ascii="Arial" w:hAnsi="Arial"/>
          <w:b w:val="0"/>
          <w:i w:val="0"/>
          <w:sz w:val="24"/>
        </w:rPr>
        <w:t>El seminario de título se desarrolló en paralelo a las actividades de farmacia y consistió en el diseño de un protocolo de Atención Farmacéutica domiciliaria basado en el Modelo CMO para los pacientes del Programa de Salud Cardiovascular del CESFAM Villa Nonguén, bajo la guía del profesor Diego Ignacio Jorquera Pereira y con el apoyo del Químico Farmacéutico tutor del centro. A continuación se describe cómo se realizó.</w:t>
      </w:r>
    </w:p>
    <w:p>
      <w:pPr>
        <w:pStyle w:val="Heading3"/>
      </w:pPr>
      <w:r>
        <w:t>2.3.1 Objetivos del seminario</w:t>
      </w:r>
    </w:p>
    <w:p>
      <w:pPr>
        <w:jc w:val="both"/>
      </w:pPr>
      <w:r>
        <w:rPr>
          <w:rFonts w:ascii="Arial" w:hAnsi="Arial"/>
          <w:b w:val="0"/>
          <w:i w:val="0"/>
          <w:sz w:val="24"/>
        </w:rPr>
        <w:t>El objetivo general del seminario fue diseñar un protocolo de Atención Farmacéutica domiciliaria basado en el Modelo CMO para los pacientes del Programa de Salud Cardiovascular del CESFAM Villa Nonguén. Para alcanzarlo se plantearon tres objetivos específicos: identificar las brechas del programa de visitas domiciliarias que se realizaba en el centro; definir el flujograma de la visita y los criterios para priorizar a los pacientes según los pilares del Modelo CMO; y diseñar los instrumentos y herramientas clínicas necesarias para aplicar el protocolo, referidas a la adherencia, a los PRM y RNM y al registro de la atención.</w:t>
      </w:r>
    </w:p>
    <w:p>
      <w:pPr>
        <w:pStyle w:val="Heading3"/>
      </w:pPr>
      <w:r>
        <w:t>2.3.2 Tipo de estudio y desarrollo</w:t>
      </w:r>
    </w:p>
    <w:p>
      <w:pPr>
        <w:jc w:val="both"/>
      </w:pPr>
      <w:r>
        <w:rPr>
          <w:rFonts w:ascii="Arial" w:hAnsi="Arial"/>
          <w:b w:val="0"/>
          <w:i w:val="0"/>
          <w:sz w:val="24"/>
        </w:rPr>
        <w:t>El seminario 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 el CESFAM Villa Nonguén y su territorio. La revisión bibliográfica se realizó en bases de datos como PubMed, SciELO y Google Scholar, junto con la normativa y las guías del Ministerio de Salud, y las referencias se ordenaron con el gestor bibliográfico Mendeley. Como apoyo para la información de medicamentos se consultaron fuentes de referencia como UpToDate, Medscape y Drugs.com.</w:t>
      </w:r>
    </w:p>
    <w:p>
      <w:pPr>
        <w:pStyle w:val="Heading3"/>
      </w:pPr>
      <w:r>
        <w:t>2.3.3 Diagnóstico de brechas, población y criterios</w:t>
      </w:r>
    </w:p>
    <w:p>
      <w:pPr>
        <w:jc w:val="both"/>
      </w:pPr>
      <w:r>
        <w:rPr>
          <w:rFonts w:ascii="Arial" w:hAnsi="Arial"/>
          <w:b w:val="0"/>
          <w:i w:val="0"/>
          <w:sz w:val="24"/>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(Ministerio de Salud de Chile, 2018a) y los tres pilares del Modelo CMO. Como referencia se utilizó también la evaluación previa del mismo programa, que había seguido a veinte usuarios y encontrado que todos tenían al menos un problema relacionado con sus medicamentos y que solo el 15% era adherente al inicio del seguimiento (Faúndez Navarrete, 2020). La Tabla 4 resume las brechas detectadas. El protocolo se orientó a las personas adultas y mayores del programa, con prioridad en quienes toman muchos medicamentos, dependen de un cuidador, se descompensan con frecuencia o tienen dificultades para acudir al centro, y se definieron criterios de inclusión y de exclusión para ordenar el ingreso al seguimiento.</w:t>
      </w:r>
    </w:p>
    <w:p>
      <w:pPr>
        <w:pStyle w:val="Caption"/>
      </w:pPr>
      <w:r>
        <w:t xml:space="preserve">Tabla </w:t>
      </w:r>
      <w:r>
        <w:fldChar w:fldCharType="begin"/>
      </w:r>
      <w:r>
        <w:instrText xml:space="preserve"> SEQ Tabla \* ARABIC </w:instrText>
      </w:r>
      <w:r>
        <w:fldChar w:fldCharType="separate"/>
      </w:r>
      <w:r>
        <w:t>4</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line="240" w:lineRule="auto"/>
              <w:jc w:val="left"/>
            </w:pPr>
            <w:r/>
            <w:r>
              <w:rPr>
                <w:rFonts w:ascii="Arial" w:hAnsi="Arial"/>
                <w:sz w:val="18"/>
              </w:rPr>
              <w:t>Capacidad</w:t>
            </w:r>
          </w:p>
        </w:tc>
        <w:tc>
          <w:tcPr>
            <w:tcW w:type="dxa" w:w="2268"/>
          </w:tcPr>
          <w:p>
            <w:pPr>
              <w:spacing w:after="40" w:line="240" w:lineRule="auto"/>
              <w:jc w:val="left"/>
            </w:pPr>
            <w:r/>
            <w:r>
              <w:rPr>
                <w:rFonts w:ascii="Arial" w:hAnsi="Arial"/>
                <w:sz w:val="18"/>
              </w:rPr>
              <w:t>Priorizar la visita según el riesgo y la complejidad.</w:t>
            </w:r>
          </w:p>
        </w:tc>
        <w:tc>
          <w:tcPr>
            <w:tcW w:type="dxa" w:w="2268"/>
          </w:tcPr>
          <w:p>
            <w:pPr>
              <w:spacing w:after="40" w:line="240" w:lineRule="auto"/>
              <w:jc w:val="left"/>
            </w:pPr>
            <w:r/>
            <w:r>
              <w:rPr>
                <w:rFonts w:ascii="Arial" w:hAnsi="Arial"/>
                <w:sz w:val="18"/>
              </w:rPr>
              <w:t>El ingreso depende de la derivación y del tiempo disponible (unas 25 visitas al mes).</w:t>
            </w:r>
          </w:p>
        </w:tc>
        <w:tc>
          <w:tcPr>
            <w:tcW w:type="dxa" w:w="2268"/>
          </w:tcPr>
          <w:p>
            <w:pPr>
              <w:spacing w:after="40" w:line="240" w:lineRule="auto"/>
              <w:jc w:val="left"/>
            </w:pPr>
            <w:r/>
            <w:r>
              <w:rPr>
                <w:rFonts w:ascii="Arial" w:hAnsi="Arial"/>
                <w:sz w:val="18"/>
              </w:rPr>
              <w:t>No hay un criterio de estratificación de riesgo propio del farmacéutico.</w:t>
            </w:r>
          </w:p>
        </w:tc>
      </w:tr>
      <w:tr>
        <w:tc>
          <w:tcPr>
            <w:tcW w:type="dxa" w:w="1701"/>
          </w:tcPr>
          <w:p>
            <w:pPr>
              <w:spacing w:after="40" w:line="240" w:lineRule="auto"/>
              <w:jc w:val="left"/>
            </w:pPr>
            <w:r/>
            <w:r>
              <w:rPr>
                <w:rFonts w:ascii="Arial" w:hAnsi="Arial"/>
                <w:sz w:val="18"/>
              </w:rPr>
              <w:t>Motivación</w:t>
            </w:r>
          </w:p>
        </w:tc>
        <w:tc>
          <w:tcPr>
            <w:tcW w:type="dxa" w:w="2268"/>
          </w:tcPr>
          <w:p>
            <w:pPr>
              <w:spacing w:after="40" w:line="240" w:lineRule="auto"/>
              <w:jc w:val="left"/>
            </w:pPr>
            <w:r/>
            <w:r>
              <w:rPr>
                <w:rFonts w:ascii="Arial" w:hAnsi="Arial"/>
                <w:sz w:val="18"/>
              </w:rPr>
              <w:t>Abordar la adherencia con entrevista motivacional estructurada.</w:t>
            </w:r>
          </w:p>
        </w:tc>
        <w:tc>
          <w:tcPr>
            <w:tcW w:type="dxa" w:w="2268"/>
          </w:tcPr>
          <w:p>
            <w:pPr>
              <w:spacing w:after="40" w:line="240" w:lineRule="auto"/>
              <w:jc w:val="left"/>
            </w:pPr>
            <w:r/>
            <w:r>
              <w:rPr>
                <w:rFonts w:ascii="Arial" w:hAnsi="Arial"/>
                <w:sz w:val="18"/>
              </w:rPr>
              <w:t>Muchas derivaciones son por adherencia o desconocimiento del tratamiento.</w:t>
            </w:r>
          </w:p>
        </w:tc>
        <w:tc>
          <w:tcPr>
            <w:tcW w:type="dxa" w:w="2268"/>
          </w:tcPr>
          <w:p>
            <w:pPr>
              <w:spacing w:after="40" w:line="240" w:lineRule="auto"/>
              <w:jc w:val="left"/>
            </w:pPr>
            <w:r/>
            <w:r>
              <w:rPr>
                <w:rFonts w:ascii="Arial" w:hAnsi="Arial"/>
                <w:sz w:val="18"/>
              </w:rPr>
              <w:t>La educación y el trabajo de barreras dependen de cada visita.</w:t>
            </w:r>
          </w:p>
        </w:tc>
      </w:tr>
      <w:tr>
        <w:tc>
          <w:tcPr>
            <w:tcW w:type="dxa" w:w="1701"/>
          </w:tcPr>
          <w:p>
            <w:pPr>
              <w:spacing w:after="40" w:line="240" w:lineRule="auto"/>
              <w:jc w:val="left"/>
            </w:pPr>
            <w:r/>
            <w:r>
              <w:rPr>
                <w:rFonts w:ascii="Arial" w:hAnsi="Arial"/>
                <w:sz w:val="18"/>
              </w:rPr>
              <w:t>Oportunidad</w:t>
            </w:r>
          </w:p>
        </w:tc>
        <w:tc>
          <w:tcPr>
            <w:tcW w:type="dxa" w:w="2268"/>
          </w:tcPr>
          <w:p>
            <w:pPr>
              <w:spacing w:after="40" w:line="240" w:lineRule="auto"/>
              <w:jc w:val="left"/>
            </w:pPr>
            <w:r/>
            <w:r>
              <w:rPr>
                <w:rFonts w:ascii="Arial" w:hAnsi="Arial"/>
                <w:sz w:val="18"/>
              </w:rPr>
              <w:t>Registro estructurado y continuidad del seguimiento.</w:t>
            </w:r>
          </w:p>
        </w:tc>
        <w:tc>
          <w:tcPr>
            <w:tcW w:type="dxa" w:w="2268"/>
          </w:tcPr>
          <w:p>
            <w:pPr>
              <w:spacing w:after="40" w:line="240" w:lineRule="auto"/>
              <w:jc w:val="left"/>
            </w:pPr>
            <w:r/>
            <w:r>
              <w:rPr>
                <w:rFonts w:ascii="Arial" w:hAnsi="Arial"/>
                <w:sz w:val="18"/>
              </w:rPr>
              <w:t>Registro en la ficha clínica (SINET Sur) y en hojas de apoyo personales.</w:t>
            </w:r>
          </w:p>
        </w:tc>
        <w:tc>
          <w:tcPr>
            <w:tcW w:type="dxa" w:w="2268"/>
          </w:tcPr>
          <w:p>
            <w:pPr>
              <w:spacing w:after="40" w:line="240" w:lineRule="auto"/>
              <w:jc w:val="left"/>
            </w:pPr>
            <w:r/>
            <w:r>
              <w:rPr>
                <w:rFonts w:ascii="Arial" w:hAnsi="Arial"/>
                <w:sz w:val="18"/>
              </w:rPr>
              <w:t>Falta un instrumento de registro propio de la Atención Farmacéutica.</w:t>
            </w:r>
          </w:p>
        </w:tc>
      </w:tr>
    </w:tbl>
    <w:p>
      <w:pPr>
        <w:pStyle w:val="Heading3"/>
      </w:pPr>
      <w:r>
        <w:t>2.3.4 Instrumentos diseñados y consideraciones éticas</w:t>
      </w:r>
    </w:p>
    <w:p>
      <w:pPr>
        <w:jc w:val="both"/>
      </w:pPr>
      <w:r>
        <w:rPr>
          <w:rFonts w:ascii="Arial" w:hAnsi="Arial"/>
          <w:b w:val="0"/>
          <w:i w:val="0"/>
          <w:sz w:val="24"/>
        </w:rPr>
        <w:t>El protocolo tradujo los tres pilares del Modelo CMO en pasos concretos. La Capacidad se abordó mediante la priorización de los pacientes y la revisión del botiquín del hogar para conciliar la medicación (Delgado et al., 2007); la Motivación, mediante la entrevista motivacional orientada a trabajar las creencias y barreras de adherencia; y la Oportunidad, mediante la continuidad del seguimiento por vía telefónica y el refuerzo del vínculo con la farmacia. Para su aplicación se diseñaron y adaptaron instrumentos sencillos, compatibles con la rutina del CESFAM: una ficha de conciliación, una ficha de seguimiento farmacoterapéutico, el test de Morisky-Green-Levine para la adherencia, la clasificación de los PRM y RNM según el Consenso de Granada, una hoja con el esquema de horarios y un protocolo de llamada telefónica para agendar la visita (ver Anexos). Al tratarse del diseño de un protocolo y no de un estudio con pacientes, el trabajo no contempló intervenciones experimentales ni la recolección de datos clínicos sensibles con fines de investigación, y se resguardaron los principios de confidencialidad y de uso responsable de la información clínica. La propuesta quedó a disposición de los Químicos Farmacéuticos del establecimiento para su revisión y eventual incorporación a la práctica.</w:t>
      </w:r>
    </w:p>
    <w:p>
      <w:pPr>
        <w:pStyle w:val="Heading1"/>
      </w:pPr>
      <w:r>
        <w:t>3. DISCUSIÓN</w:t>
      </w:r>
    </w:p>
    <w:p>
      <w:pPr>
        <w:pStyle w:val="Heading2"/>
      </w:pPr>
      <w:r>
        <w:t>3.1 Alcances y cumplimiento de los objetivos</w:t>
      </w:r>
    </w:p>
    <w:p>
      <w:pPr>
        <w:jc w:val="both"/>
      </w:pPr>
      <w:r>
        <w:rPr>
          <w:rFonts w:ascii="Arial" w:hAnsi="Arial"/>
          <w:b w:val="0"/>
          <w:i w:val="0"/>
          <w:sz w:val="24"/>
        </w:rPr>
        <w:t>El internado permitió conocer de manera directa el funcionamiento de una unidad de farmacia de Atención Primaria y participar en la mayoría de sus procesos. La rotación abarcó tanto las tareas técnicas y de gestión, como la recepción, el almacenamiento, la gestión de stock, el fraccionamiento, el reenvasado, la dispensación y la eliminación de medicamentos vencidos, como las tareas clínicas y comunitarias, entre ellas la Atención Farmacéutica, las visitas domiciliarias y el taller de uso racional de medicamentos, y culminó con el diseño del protocolo domiciliario basado en el Modelo CMO como seminario de título. Este recorrido, que fue desde la gestión del arsenal hasta el seguimiento del paciente en su propio hogar, entregó una visión completa del quehacer del Químico Farmacéutico en la Atención Primaria y permitió alcanzar lo propuesto al inicio de la rotación.</w:t>
      </w:r>
    </w:p>
    <w:p>
      <w:pPr>
        <w:jc w:val="both"/>
      </w:pPr>
      <w:r>
        <w:rPr>
          <w:rFonts w:ascii="Arial" w:hAnsi="Arial"/>
          <w:b w:val="0"/>
          <w:i w:val="0"/>
          <w:sz w:val="24"/>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(Cantillana-Suárez et al., 2021; Sánchez-Yáñez et al., 2023), aunque su adopción todavía enfrenta barreras organizacionales que conviene anticipar (Álvarez-Díaz et al., 2025; Morillo-Verdugo et al., 2022). Estos antecedentes respaldan la pertinencia del protocolo diseñado durante el internado.</w:t>
      </w:r>
    </w:p>
    <w:p>
      <w:pPr>
        <w:pStyle w:val="Heading2"/>
      </w:pPr>
      <w:r>
        <w:t>3.2 Fortalezas y debilidades del centro</w:t>
      </w:r>
    </w:p>
    <w:p>
      <w:pPr>
        <w:jc w:val="both"/>
      </w:pPr>
      <w:r>
        <w:rPr>
          <w:rFonts w:ascii="Arial" w:hAnsi="Arial"/>
          <w:b w:val="0"/>
          <w:i w:val="0"/>
          <w:sz w:val="24"/>
        </w:rPr>
        <w:t>El paso por la unidad de farmacia del CESFAM Villa Nonguén dejó ver varias fortalezas. La más evidente es el orden y la trazabilidad con que se maneja el medicamento, ya que cada producto se cuenta, se descuenta de su bincard al momento del despacho y se traspasa desde la bodega a la farmacia dejando registro, lo que permite saber en todo momento con qué stock se cuenta. El sistema informático que utilizan, SINET Sur, resultó sencillo y fácil de entender, y acompaña bien el trabajo diario de dispensación. A esto se suma un equipo consolidado, con muy buena disposición de los Químicos Farmacéuticos para enseñar y para llevar al interno a hacer Atención Farmacéutica más de una vez por semana, y una atención cercana que la comunidad agradece. El centro tiene, además, el valor histórico de haber sido pionero en el Modelo de Salud Familiar en el país.</w:t>
      </w:r>
    </w:p>
    <w:p>
      <w:pPr>
        <w:jc w:val="both"/>
      </w:pPr>
      <w:r>
        <w:rPr>
          <w:rFonts w:ascii="Arial" w:hAnsi="Arial"/>
          <w:b w:val="0"/>
          <w:i w:val="0"/>
          <w:sz w:val="24"/>
        </w:rPr>
        <w:t>Entre los aspectos por mejorar, el más claro es el espacio. Como el CESFAM cada vez atiende a más personas, la farmacia se ha ido quedando pequeña, con pocas ventanillas de atención y momentos en que se llena de gente, lo que deja poco lugar para que los usuarios esperen con comodidad. El espacio para guardar medicamentos también es reducido, por lo que se deben hacer traspasos constantes desde la bodega, que igualmente es pequeña y deja poco margen para movilizarse, aun cuando los medicamentos están ordenados y se cumplen los criterios de almacenamiento. Un aspecto adicional, que dio origen al seminario de título, es que la visita domiciliaria del farmacéutico se realizaba sin un procedimiento escrito y estandarizado, apoyándose en hojas personales además de la ficha clínica, lo que dificultaba comparar el trabajo entre profesionales y darle continuidad.</w:t>
      </w:r>
    </w:p>
    <w:p>
      <w:pPr>
        <w:pStyle w:val="Heading2"/>
      </w:pPr>
      <w:r>
        <w:t>3.3 Comparación con otro centro de Atención Primaria</w:t>
      </w:r>
    </w:p>
    <w:p>
      <w:pPr>
        <w:jc w:val="both"/>
      </w:pPr>
      <w:r>
        <w:rPr>
          <w:rFonts w:ascii="Arial" w:hAnsi="Arial"/>
          <w:b w:val="0"/>
          <w:i w:val="0"/>
          <w:sz w:val="24"/>
        </w:rPr>
        <w:t>Para poner en contexto la experiencia, resulta útil comparar el CESFAM Villa Nonguén con el CESFAM Hualpencillo, de la comuna de Hualpén, también en la Región del Biobío, donde se desarrolló una práctica previa. Ambos son establecimientos de Atención Primaria que trabajan bajo el Modelo de Salud Familiar y comparten las tareas propias de una farmacia de este nivel, como el fraccionamiento y reenvasado, el despacho informado, el control de los medicamentos sujetos a fiscalización, la eliminación de productos vencidos y la entrega de medicamentos a domicilio, que en Hualpencillo se organiza a través del programa Piloto con generación de váuchers y en Villa Nonguén se enmarca en el Programa de Salud Cardiovascular (Organización Mundial de la Salud, 2021; Ministerio de Salud de Chile, 2020).</w:t>
      </w:r>
    </w:p>
    <w:p>
      <w:pPr>
        <w:jc w:val="both"/>
      </w:pPr>
      <w:r>
        <w:rPr>
          <w:rFonts w:ascii="Arial" w:hAnsi="Arial"/>
          <w:b w:val="0"/>
          <w:i w:val="0"/>
          <w:sz w:val="24"/>
        </w:rPr>
        <w:t>La primera diferencia está en la dependencia administrativa, ya que Hualpencillo es de administración municipal, mientras que Villa Nonguén funciona bajo administración delegada a cargo de COSADES. En cuanto a la gestión del medicamento, el sistema informático de Villa Nonguén, SINET Sur, se percibió más sencillo y con mayor trazabilidad que el utilizado en Hualpencillo, con un conteo claro de existencias y descuentos automáticos al momento del despacho. Ambos centros, de todos modos, comparten una limitación de infraestructura, ya que en los dos el espacio de bodega y de farmacia resulta estrecho para el volumen de medicamentos y de público que manejan. La diferencia es que en Hualpencillo esa dificultad se acompaña de una falta de personal para cubrir la extensión horaria y de la ausencia de Químico Farmacéutico en algunos horarios, lo que limita la supervisión de la dispensación (Organización Panamericana de la Salud, 2024), mientras que en Villa Nonguén el problema es sobre todo de espacio físico más que de dotación. Esta comparación confirma que la infraestructura es un desafío común de la Atención Primaria y que el orden y la trazabilidad de Villa Nonguén son una fortaleza que vale la pena mantener.</w:t>
      </w:r>
    </w:p>
    <w:p>
      <w:pPr>
        <w:pStyle w:val="Heading2"/>
      </w:pPr>
      <w:r>
        <w:t>3.4 Originalidad y propuestas de mejora</w:t>
      </w:r>
    </w:p>
    <w:p>
      <w:pPr>
        <w:spacing w:line="360" w:lineRule="auto" w:after="80"/>
        <w:ind w:left="567" w:hanging="340"/>
        <w:jc w:val="both"/>
      </w:pPr>
      <w:r>
        <w:rPr>
          <w:rFonts w:ascii="Arial" w:hAnsi="Arial"/>
          <w:sz w:val="24"/>
        </w:rPr>
        <w:t>1. Ampliar el espacio físico de la farmacia y de la bodega, aumentar el número de ventanillas de atención y habilitar un área de espera más cómoda, de modo de responder al crecimiento sostenido de la población inscrita.</w:t>
      </w:r>
    </w:p>
    <w:p>
      <w:pPr>
        <w:spacing w:line="360" w:lineRule="auto" w:after="80"/>
        <w:ind w:left="567" w:hanging="340"/>
        <w:jc w:val="both"/>
      </w:pPr>
      <w:r>
        <w:rPr>
          <w:rFonts w:ascii="Arial" w:hAnsi="Arial"/>
          <w:sz w:val="24"/>
        </w:rPr>
        <w:t>2. Incorporar de manera formal el protocolo de Atención Farmacéutica domiciliaria basado en el Modelo CMO, con criterios de priorización propios del farmacéutico, como aporte original surgido del seminario de título.</w:t>
      </w:r>
    </w:p>
    <w:p>
      <w:pPr>
        <w:spacing w:line="360" w:lineRule="auto" w:after="80"/>
        <w:ind w:left="567" w:hanging="340"/>
        <w:jc w:val="both"/>
      </w:pPr>
      <w:r>
        <w:rPr>
          <w:rFonts w:ascii="Arial" w:hAnsi="Arial"/>
          <w:sz w:val="24"/>
        </w:rPr>
        <w:t>3. Estandarizar el registro de la Atención Farmacéutica mediante fichas de conciliación y de seguimiento comunes, que luego se traspasen a la ficha clínica electrónica, para mejorar la trazabilidad y la continuidad.</w:t>
      </w:r>
    </w:p>
    <w:p>
      <w:pPr>
        <w:spacing w:line="360" w:lineRule="auto" w:after="80"/>
        <w:ind w:left="567" w:hanging="340"/>
        <w:jc w:val="both"/>
      </w:pPr>
      <w:r>
        <w:rPr>
          <w:rFonts w:ascii="Arial" w:hAnsi="Arial"/>
          <w:sz w:val="24"/>
        </w:rPr>
        <w:t>4. Reforzar el trabajo de la adherencia con herramientas simples y validadas, como el test de Morisky-Green-Levine, y con la entrevista motivacional.</w:t>
      </w:r>
    </w:p>
    <w:p>
      <w:pPr>
        <w:spacing w:line="360" w:lineRule="auto" w:after="80"/>
        <w:ind w:left="567" w:hanging="340"/>
        <w:jc w:val="both"/>
      </w:pPr>
      <w:r>
        <w:rPr>
          <w:rFonts w:ascii="Arial" w:hAnsi="Arial"/>
          <w:sz w:val="24"/>
        </w:rPr>
        <w:t>5. Mantener y difundir las buenas prácticas de trazabilidad y orden observadas en Villa Nonguén, que pueden servir de referencia para otros centros de la red.</w:t>
      </w:r>
    </w:p>
    <w:p>
      <w:pPr>
        <w:pStyle w:val="Heading1"/>
      </w:pPr>
      <w:r>
        <w:t>4. CONCLUSIONES</w:t>
      </w:r>
    </w:p>
    <w:p>
      <w:pPr>
        <w:pStyle w:val="Heading2"/>
      </w:pPr>
      <w:r>
        <w:t>4.1 Conclusiones generales</w:t>
      </w:r>
    </w:p>
    <w:p>
      <w:pPr>
        <w:spacing w:line="360" w:lineRule="auto" w:after="80"/>
        <w:ind w:left="567" w:hanging="340"/>
        <w:jc w:val="both"/>
      </w:pPr>
      <w:r>
        <w:rPr>
          <w:rFonts w:ascii="Arial" w:hAnsi="Arial"/>
          <w:sz w:val="24"/>
        </w:rPr>
        <w:t>1. El internado en el CESFAM Villa Nonguén permitió desarrollar las competencias del Químico Farmacéutico en el ámbito de la farmacia asistencial y la Atención Primaria, integrándose de manera efectiva al equipo de la unidad de farmacia.</w:t>
      </w:r>
    </w:p>
    <w:p>
      <w:pPr>
        <w:spacing w:line="360" w:lineRule="auto" w:after="80"/>
        <w:ind w:left="567" w:hanging="340"/>
        <w:jc w:val="both"/>
      </w:pPr>
      <w:r>
        <w:rPr>
          <w:rFonts w:ascii="Arial" w:hAnsi="Arial"/>
          <w:sz w:val="24"/>
        </w:rPr>
        <w:t>2. Se reconocieron la estructura y los procesos de la unidad de farmacia, y se participó en las tareas de recepción, almacenamiento, gestión de stock, fraccionamiento, reenvasado, despacho y eliminación de medicamentos vencidos, resguardando la trazabilidad y el uso eficiente de los recursos.</w:t>
      </w:r>
    </w:p>
    <w:p>
      <w:pPr>
        <w:spacing w:line="360" w:lineRule="auto" w:after="80"/>
        <w:ind w:left="567" w:hanging="340"/>
        <w:jc w:val="both"/>
      </w:pPr>
      <w:r>
        <w:rPr>
          <w:rFonts w:ascii="Arial" w:hAnsi="Arial"/>
          <w:sz w:val="24"/>
        </w:rPr>
        <w:t>3. Se ejecutó Atención Farmacéutica de forma sostenida, con más de una actividad por semana durante toda la rotación, además de visitas domiciliarias y la promoción del uso racional de los medicamentos, lo que evidenció el aporte clínico y comunitario del farmacéutico en este nivel de atención.</w:t>
      </w:r>
    </w:p>
    <w:p>
      <w:pPr>
        <w:spacing w:line="360" w:lineRule="auto" w:after="80"/>
        <w:ind w:left="567" w:hanging="340"/>
        <w:jc w:val="both"/>
      </w:pPr>
      <w:r>
        <w:rPr>
          <w:rFonts w:ascii="Arial" w:hAnsi="Arial"/>
          <w:sz w:val="24"/>
        </w:rPr>
        <w:t>4. Se diseñó, como seminario de título, un protocolo de Atención Farmacéutica domiciliaria basado en el Modelo CMO, que aporta una herramienta concreta para ordenar, estandarizar y hacer trazable la visita domiciliaria en el establecimiento.</w:t>
      </w:r>
    </w:p>
    <w:p>
      <w:pPr>
        <w:spacing w:line="360" w:lineRule="auto" w:after="80"/>
        <w:ind w:left="567" w:hanging="340"/>
        <w:jc w:val="both"/>
      </w:pPr>
      <w:r>
        <w:rPr>
          <w:rFonts w:ascii="Arial" w:hAnsi="Arial"/>
          <w:sz w:val="24"/>
        </w:rPr>
        <w:t>5. La comparación con el CESFAM Hualpencillo mostró que la limitación de espacio es un desafío compartido de la Atención Primaria, y confirmó como fortaleza distintiva de Villa Nonguén el orden y la trazabilidad en el manejo del medicamento.</w:t>
      </w:r>
    </w:p>
    <w:p>
      <w:pPr>
        <w:pStyle w:val="Heading2"/>
      </w:pPr>
      <w:r>
        <w:t>4.2 Proyecciones y futuras líneas de trabajo</w:t>
      </w:r>
    </w:p>
    <w:p>
      <w:pPr>
        <w:jc w:val="both"/>
      </w:pPr>
      <w:r>
        <w:rPr>
          <w:rFonts w:ascii="Arial" w:hAnsi="Arial"/>
          <w:b w:val="0"/>
          <w:i w:val="0"/>
          <w:sz w:val="24"/>
        </w:rPr>
        <w:t>De cara al futuro, la principal proyección es implementar y evaluar en el propio centro el protocolo de Atención Farmacéutica domiciliaria diseñado como seminario de título, midiendo su efecto sobre la adherencia y sobre el control de los pacientes del Programa de Salud Cardiovascular, para luego extenderlo a otros programas y a usuarios con polifarmacia. En paralelo, sería valioso gestionar la ampliación de la infraestructura de la farmacia y de la bodega, y avanzar hacia un registro estandarizado de la Atención Farmacéutica que consolide la trazabilidad que ya caracteriza al centro. Estas líneas permitirían proyectar el aporte del Químico Farmacéutico más allá del periodo de internado y fortalecer la calidad de la atención que recibe la comunidad.</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Martín Alfonso, L. (2004). Acerca del concepto de adherencia terapéutica. Revista Cubana de Salud Pública, 30(4).</w:t>
      </w:r>
    </w:p>
    <w:p>
      <w:pPr>
        <w:spacing w:line="360" w:lineRule="auto" w:after="160"/>
        <w:ind w:left="567" w:hanging="567"/>
        <w:jc w:val="both"/>
      </w:pPr>
      <w:r>
        <w:rPr>
          <w:rFonts w:ascii="Arial" w:hAnsi="Arial"/>
          <w:sz w:val="24"/>
        </w:rPr>
        <w:t>Ministerio de Salud de Chile. (2017a). Encuesta Nacional de Salud 2016-2017. Gobierno de Chile.</w:t>
      </w:r>
    </w:p>
    <w:p>
      <w:pPr>
        <w:spacing w:line="360" w:lineRule="auto" w:after="160"/>
        <w:ind w:left="567" w:hanging="567"/>
        <w:jc w:val="both"/>
      </w:pPr>
      <w:r>
        <w:rPr>
          <w:rFonts w:ascii="Arial" w:hAnsi="Arial"/>
          <w:sz w:val="24"/>
        </w:rPr>
        <w:t>Ministerio de Salud de Chile. (2017b).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Organización Mundial de la Salud. (2021). Atención Primaria de Salud. OMS. https://www.who.int/es/health-topics/primary-health-care</w:t>
      </w:r>
    </w:p>
    <w:p>
      <w:pPr>
        <w:spacing w:line="360" w:lineRule="auto" w:after="160"/>
        <w:ind w:left="567" w:hanging="567"/>
        <w:jc w:val="both"/>
      </w:pPr>
      <w:r>
        <w:rPr>
          <w:rFonts w:ascii="Arial" w:hAnsi="Arial"/>
          <w:sz w:val="24"/>
        </w:rPr>
        <w:t>Organización Panamericana de la Salud. (2024). Servicios farmacéuticos basados en la Atención Primaria de Salud. OPS.</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pStyle w:val="Heading1"/>
      </w:pPr>
      <w:r>
        <w:t>ANEXOS</w:t>
      </w:r>
    </w:p>
    <w:p>
      <w:pPr>
        <w:jc w:val="both"/>
      </w:pPr>
      <w:r>
        <w:rPr>
          <w:rFonts w:ascii="Arial" w:hAnsi="Arial"/>
          <w:b w:val="0"/>
          <w:i w:val="0"/>
          <w:sz w:val="24"/>
        </w:rPr>
        <w:t>Los anexos reúnen los principales instrumentos de apoyo diseñados para el protocolo de Atención Farmacéutica domiciliaria del seminario de título.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5</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line="240" w:lineRule="auto"/>
              <w:jc w:val="left"/>
            </w:pPr>
            <w:r/>
            <w:r>
              <w:rPr>
                <w:rFonts w:ascii="Arial" w:hAnsi="Arial"/>
                <w:sz w:val="22"/>
              </w:rPr>
              <w:t>1</w:t>
            </w:r>
          </w:p>
        </w:tc>
        <w:tc>
          <w:tcPr>
            <w:tcW w:type="dxa" w:w="5386"/>
          </w:tcPr>
          <w:p>
            <w:pPr>
              <w:spacing w:after="40" w:line="240" w:lineRule="auto"/>
              <w:jc w:val="left"/>
            </w:pPr>
            <w:r/>
            <w:r>
              <w:rPr>
                <w:rFonts w:ascii="Arial" w:hAnsi="Arial"/>
                <w:sz w:val="22"/>
              </w:rPr>
              <w:t>¿Olvida alguna vez tomar sus medicamentos?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2</w:t>
            </w:r>
          </w:p>
        </w:tc>
        <w:tc>
          <w:tcPr>
            <w:tcW w:type="dxa" w:w="5386"/>
          </w:tcPr>
          <w:p>
            <w:pPr>
              <w:spacing w:after="40" w:line="240" w:lineRule="auto"/>
              <w:jc w:val="left"/>
            </w:pPr>
            <w:r/>
            <w:r>
              <w:rPr>
                <w:rFonts w:ascii="Arial" w:hAnsi="Arial"/>
                <w:sz w:val="22"/>
              </w:rPr>
              <w:t>¿Toma los medicamentos a la hora indicada?</w:t>
            </w:r>
          </w:p>
        </w:tc>
        <w:tc>
          <w:tcPr>
            <w:tcW w:type="dxa" w:w="2268"/>
          </w:tcPr>
          <w:p>
            <w:pPr>
              <w:spacing w:after="40" w:line="240" w:lineRule="auto"/>
              <w:jc w:val="left"/>
            </w:pPr>
            <w:r/>
            <w:r>
              <w:rPr>
                <w:rFonts w:ascii="Arial" w:hAnsi="Arial"/>
                <w:sz w:val="22"/>
              </w:rPr>
              <w:t>Sí</w:t>
            </w:r>
          </w:p>
        </w:tc>
      </w:tr>
      <w:tr>
        <w:tc>
          <w:tcPr>
            <w:tcW w:type="dxa" w:w="850"/>
          </w:tcPr>
          <w:p>
            <w:pPr>
              <w:spacing w:after="40" w:line="240" w:lineRule="auto"/>
              <w:jc w:val="left"/>
            </w:pPr>
            <w:r/>
            <w:r>
              <w:rPr>
                <w:rFonts w:ascii="Arial" w:hAnsi="Arial"/>
                <w:sz w:val="22"/>
              </w:rPr>
              <w:t>3</w:t>
            </w:r>
          </w:p>
        </w:tc>
        <w:tc>
          <w:tcPr>
            <w:tcW w:type="dxa" w:w="5386"/>
          </w:tcPr>
          <w:p>
            <w:pPr>
              <w:spacing w:after="40" w:line="240" w:lineRule="auto"/>
              <w:jc w:val="left"/>
            </w:pPr>
            <w:r/>
            <w:r>
              <w:rPr>
                <w:rFonts w:ascii="Arial" w:hAnsi="Arial"/>
                <w:sz w:val="22"/>
              </w:rPr>
              <w:t>Cuando se siente bien, ¿deja de tomarlos?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4</w:t>
            </w:r>
          </w:p>
        </w:tc>
        <w:tc>
          <w:tcPr>
            <w:tcW w:type="dxa" w:w="5386"/>
          </w:tcPr>
          <w:p>
            <w:pPr>
              <w:spacing w:after="40" w:line="240" w:lineRule="auto"/>
              <w:jc w:val="left"/>
            </w:pPr>
            <w:r/>
            <w:r>
              <w:rPr>
                <w:rFonts w:ascii="Arial" w:hAnsi="Arial"/>
                <w:sz w:val="22"/>
              </w:rPr>
              <w:t>Si alguna vez le sientan mal, ¿deja de tomarlos?</w:t>
            </w:r>
          </w:p>
        </w:tc>
        <w:tc>
          <w:tcPr>
            <w:tcW w:type="dxa" w:w="2268"/>
          </w:tcPr>
          <w:p>
            <w:pPr>
              <w:spacing w:after="40" w:line="240" w:lineRule="auto"/>
              <w:jc w:val="left"/>
            </w:pPr>
            <w:r/>
            <w:r>
              <w:rPr>
                <w:rFonts w:ascii="Arial" w:hAnsi="Arial"/>
                <w:sz w:val="22"/>
              </w:rPr>
              <w:t>No</w:t>
            </w:r>
          </w:p>
        </w:tc>
      </w:tr>
    </w:tbl>
    <w:p>
      <w:pPr>
        <w:jc w:val="both"/>
      </w:pPr>
      <w:r>
        <w:rPr>
          <w:rFonts w:ascii="Arial" w:hAnsi="Arial"/>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6</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line="240" w:lineRule="auto"/>
              <w:jc w:val="left"/>
            </w:pPr>
            <w:r/>
            <w:r>
              <w:rPr>
                <w:rFonts w:ascii="Arial" w:hAnsi="Arial"/>
                <w:sz w:val="22"/>
              </w:rPr>
              <w:t>Necesidad</w:t>
            </w:r>
          </w:p>
        </w:tc>
        <w:tc>
          <w:tcPr>
            <w:tcW w:type="dxa" w:w="3402"/>
          </w:tcPr>
          <w:p>
            <w:pPr>
              <w:spacing w:after="40" w:line="240" w:lineRule="auto"/>
              <w:jc w:val="left"/>
            </w:pPr>
            <w:r/>
            <w:r>
              <w:rPr>
                <w:rFonts w:ascii="Arial" w:hAnsi="Arial"/>
                <w:sz w:val="22"/>
              </w:rPr>
              <w:t>¿El paciente usa los medicamentos que necesita?</w:t>
            </w:r>
          </w:p>
        </w:tc>
        <w:tc>
          <w:tcPr>
            <w:tcW w:type="dxa" w:w="3402"/>
          </w:tcPr>
          <w:p>
            <w:pPr>
              <w:spacing w:after="40" w:line="240" w:lineRule="auto"/>
              <w:jc w:val="left"/>
            </w:pPr>
            <w:r/>
            <w:r>
              <w:rPr>
                <w:rFonts w:ascii="Arial" w:hAnsi="Arial"/>
                <w:sz w:val="22"/>
              </w:rPr>
              <w:t>Toma un fármaco sin indicación o falta uno que requiere.</w:t>
            </w:r>
          </w:p>
        </w:tc>
      </w:tr>
      <w:tr>
        <w:tc>
          <w:tcPr>
            <w:tcW w:type="dxa" w:w="1701"/>
          </w:tcPr>
          <w:p>
            <w:pPr>
              <w:spacing w:after="40" w:line="240" w:lineRule="auto"/>
              <w:jc w:val="left"/>
            </w:pPr>
            <w:r/>
            <w:r>
              <w:rPr>
                <w:rFonts w:ascii="Arial" w:hAnsi="Arial"/>
                <w:sz w:val="22"/>
              </w:rPr>
              <w:t>Efectividad</w:t>
            </w:r>
          </w:p>
        </w:tc>
        <w:tc>
          <w:tcPr>
            <w:tcW w:type="dxa" w:w="3402"/>
          </w:tcPr>
          <w:p>
            <w:pPr>
              <w:spacing w:after="40" w:line="240" w:lineRule="auto"/>
              <w:jc w:val="left"/>
            </w:pPr>
            <w:r/>
            <w:r>
              <w:rPr>
                <w:rFonts w:ascii="Arial" w:hAnsi="Arial"/>
                <w:sz w:val="22"/>
              </w:rPr>
              <w:t>¿El tratamiento logra el objetivo buscado?</w:t>
            </w:r>
          </w:p>
        </w:tc>
        <w:tc>
          <w:tcPr>
            <w:tcW w:type="dxa" w:w="3402"/>
          </w:tcPr>
          <w:p>
            <w:pPr>
              <w:spacing w:after="40" w:line="240" w:lineRule="auto"/>
              <w:jc w:val="left"/>
            </w:pPr>
            <w:r/>
            <w:r>
              <w:rPr>
                <w:rFonts w:ascii="Arial" w:hAnsi="Arial"/>
                <w:sz w:val="22"/>
              </w:rPr>
              <w:t>No alcanza la meta terapéutica pese a usar el medicamento.</w:t>
            </w:r>
          </w:p>
        </w:tc>
      </w:tr>
      <w:tr>
        <w:tc>
          <w:tcPr>
            <w:tcW w:type="dxa" w:w="1701"/>
          </w:tcPr>
          <w:p>
            <w:pPr>
              <w:spacing w:after="40" w:line="240" w:lineRule="auto"/>
              <w:jc w:val="left"/>
            </w:pPr>
            <w:r/>
            <w:r>
              <w:rPr>
                <w:rFonts w:ascii="Arial" w:hAnsi="Arial"/>
                <w:sz w:val="22"/>
              </w:rPr>
              <w:t>Seguridad</w:t>
            </w:r>
          </w:p>
        </w:tc>
        <w:tc>
          <w:tcPr>
            <w:tcW w:type="dxa" w:w="3402"/>
          </w:tcPr>
          <w:p>
            <w:pPr>
              <w:spacing w:after="40" w:line="240" w:lineRule="auto"/>
              <w:jc w:val="left"/>
            </w:pPr>
            <w:r/>
            <w:r>
              <w:rPr>
                <w:rFonts w:ascii="Arial" w:hAnsi="Arial"/>
                <w:sz w:val="22"/>
              </w:rPr>
              <w:t>¿El tratamiento es seguro para el paciente?</w:t>
            </w:r>
          </w:p>
        </w:tc>
        <w:tc>
          <w:tcPr>
            <w:tcW w:type="dxa" w:w="3402"/>
          </w:tcPr>
          <w:p>
            <w:pPr>
              <w:spacing w:after="40" w:line="240" w:lineRule="auto"/>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p>
      <w:pPr>
        <w:pStyle w:val="Heading2"/>
      </w:pPr>
      <w:r>
        <w:t>Anexo 4. Protocolos de la unidad de farmacia consultados</w:t>
      </w:r>
    </w:p>
    <w:p>
      <w:pPr>
        <w:jc w:val="both"/>
      </w:pPr>
      <w:r>
        <w:rPr>
          <w:rFonts w:ascii="Arial" w:hAnsi="Arial"/>
          <w:b w:val="0"/>
          <w:i w:val="0"/>
          <w:sz w:val="24"/>
        </w:rPr>
        <w:t>Durante el internado se revisaron y aplicaron los procedimientos internos de la unidad de farmacia del CESFAM Villa Nonguén, que sirvieron de base para las actividades descritas en este informe.</w:t>
      </w:r>
    </w:p>
    <w:p>
      <w:pPr>
        <w:pStyle w:val="ListBullet"/>
        <w:spacing w:line="360" w:lineRule="auto"/>
      </w:pPr>
      <w:r>
        <w:rPr>
          <w:rFonts w:ascii="Arial" w:hAnsi="Arial"/>
          <w:sz w:val="24"/>
        </w:rPr>
        <w:t>APF 1.2.1 Comité de Farmacia.</w:t>
      </w:r>
    </w:p>
    <w:p>
      <w:pPr>
        <w:pStyle w:val="ListBullet"/>
        <w:spacing w:line="360" w:lineRule="auto"/>
      </w:pPr>
      <w:r>
        <w:rPr>
          <w:rFonts w:ascii="Arial" w:hAnsi="Arial"/>
          <w:sz w:val="24"/>
        </w:rPr>
        <w:t>APF 1.3.1 Rotulación de medicamentos.</w:t>
      </w:r>
    </w:p>
    <w:p>
      <w:pPr>
        <w:pStyle w:val="ListBullet"/>
        <w:spacing w:line="360" w:lineRule="auto"/>
      </w:pPr>
      <w:r>
        <w:rPr>
          <w:rFonts w:ascii="Arial" w:hAnsi="Arial"/>
          <w:sz w:val="24"/>
        </w:rPr>
        <w:t>APF 1.3.2 Envasado de medicamentos e insumos de farmacia.</w:t>
      </w:r>
    </w:p>
    <w:p>
      <w:pPr>
        <w:pStyle w:val="ListBullet"/>
        <w:spacing w:line="360" w:lineRule="auto"/>
      </w:pPr>
      <w:r>
        <w:rPr>
          <w:rFonts w:ascii="Arial" w:hAnsi="Arial"/>
          <w:sz w:val="24"/>
        </w:rPr>
        <w:t>APF 1.3.3.1 Despacho de medicamentos.</w:t>
      </w:r>
    </w:p>
    <w:p>
      <w:pPr>
        <w:pStyle w:val="ListBullet"/>
        <w:spacing w:line="360" w:lineRule="auto"/>
      </w:pPr>
      <w:r>
        <w:rPr>
          <w:rFonts w:ascii="Arial" w:hAnsi="Arial"/>
          <w:sz w:val="24"/>
        </w:rPr>
        <w:t>APF 1.4.1 Almacenamiento y conservación de medicamentos.</w:t>
      </w:r>
    </w:p>
    <w:p>
      <w:pPr>
        <w:pStyle w:val="ListBullet"/>
        <w:spacing w:line="360" w:lineRule="auto"/>
      </w:pPr>
      <w:r>
        <w:rPr>
          <w:rFonts w:ascii="Arial" w:hAnsi="Arial"/>
          <w:sz w:val="24"/>
        </w:rPr>
        <w:t>APF 13 Eliminación de medicamentos expirados, en mal estado o sin rotulación adecuada.</w:t>
      </w:r>
    </w:p>
    <w:p>
      <w:pPr>
        <w:pStyle w:val="ListBullet"/>
        <w:spacing w:line="360" w:lineRule="auto"/>
      </w:pPr>
      <w:r>
        <w:rPr>
          <w:rFonts w:ascii="Arial" w:hAnsi="Arial"/>
          <w:sz w:val="24"/>
        </w:rPr>
        <w:t>APF 22 Manejo de psicotrópicos y estupefacientes.</w:t>
      </w:r>
    </w:p>
    <w:sectPr w:rsidR="00FC693F" w:rsidRPr="0006063C" w:rsidSect="00034616">
      <w:headerReference w:type="default" r:id="rId15"/>
      <w:headerReference w:type="first" r:id="rId16"/>
      <w:footerReference w:type="default" r:id="rId17"/>
      <w:pgSz w:w="12240" w:h="15840"/>
      <w:pgMar w:top="1417" w:right="1417" w:bottom="1417" w:left="2268" w:header="709"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44000" cy="661361"/>
          <wp:docPr id="1" name="Picture 1"/>
          <wp:cNvGraphicFramePr>
            <a:graphicFrameLocks noChangeAspect="1"/>
          </wp:cNvGraphicFramePr>
          <a:graphic>
            <a:graphicData uri="http://schemas.openxmlformats.org/drawingml/2006/picture">
              <pic:pic>
                <pic:nvPicPr>
                  <pic:cNvPr id="0" name="logo_uss.jpeg"/>
                  <pic:cNvPicPr/>
                </pic:nvPicPr>
                <pic:blipFill>
                  <a:blip r:embed="rId1"/>
                  <a:stretch>
                    <a:fillRect/>
                  </a:stretch>
                </pic:blipFill>
                <pic:spPr>
                  <a:xfrm>
                    <a:off x="0" y="0"/>
                    <a:ext cx="1944000" cy="661361"/>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jc w:val="center"/>
      <w:outlineLvl w:val="0"/>
    </w:pPr>
    <w:rPr>
      <w:rFonts w:asciiTheme="majorHAnsi" w:eastAsiaTheme="majorEastAsia" w:hAnsiTheme="majorHAnsi" w:cstheme="majorBidi" w:ascii="Arial" w:hAnsi="Arial" w:eastAsia="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Prelim">
    <w:name w:val="TituloPrelim"/>
    <w:basedOn w:val="Normal"/>
    <w:pPr>
      <w:keepNext/>
      <w:spacing w:before="240" w:after="240"/>
      <w:jc w:val="center"/>
    </w:pPr>
    <w:rPr>
      <w:rFonts w:ascii="Arial" w:hAnsi="Arial" w:eastAsia="Arial"/>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3.xml"/><Relationship Id="rId1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