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240"/>
        <w:jc w:val="center"/>
      </w:pPr>
      <w:r>
        <w:rPr>
          <w:rFonts w:ascii="Arial" w:hAnsi="Arial"/>
          <w:b w:val="0"/>
          <w:i/>
          <w:sz w:val="22"/>
        </w:rPr>
        <w:t>[Insertar logo institucional actualizado de la USS]</w:t>
      </w:r>
    </w:p>
    <w:p>
      <w:pPr>
        <w:spacing w:line="360" w:lineRule="auto" w:after="120" w:before="0"/>
        <w:jc w:val="center"/>
      </w:pPr>
      <w:r>
        <w:rPr>
          <w:rFonts w:ascii="Arial" w:hAnsi="Arial"/>
          <w:b/>
          <w:i w:val="0"/>
          <w:sz w:val="28"/>
        </w:rPr>
        <w:t>UNIVERSIDAD SAN SEBASTIÁN</w:t>
      </w:r>
    </w:p>
    <w:p>
      <w:pPr>
        <w:spacing w:line="360" w:lineRule="auto" w:after="120" w:before="0"/>
        <w:jc w:val="center"/>
      </w:pPr>
      <w:r>
        <w:rPr>
          <w:rFonts w:ascii="Arial" w:hAnsi="Arial"/>
          <w:b/>
          <w:i w:val="0"/>
          <w:sz w:val="28"/>
        </w:rPr>
        <w:t>FACULTAD DE CIENCIAS</w:t>
      </w:r>
    </w:p>
    <w:p>
      <w:pPr>
        <w:spacing w:line="360" w:lineRule="auto" w:after="120" w:before="0"/>
        <w:jc w:val="center"/>
      </w:pPr>
      <w:r>
        <w:rPr>
          <w:rFonts w:ascii="Arial" w:hAnsi="Arial"/>
          <w:b/>
          <w:i w:val="0"/>
          <w:sz w:val="28"/>
        </w:rPr>
        <w:t>ESCUELA DE QUÍMICA Y FARMACIA</w:t>
      </w:r>
    </w:p>
    <w:p>
      <w:pPr>
        <w:spacing w:line="360" w:lineRule="auto" w:after="960" w:before="0"/>
        <w:jc w:val="center"/>
      </w:pPr>
      <w:r>
        <w:rPr>
          <w:rFonts w:ascii="Arial" w:hAnsi="Arial"/>
          <w:b/>
          <w:i w:val="0"/>
          <w:sz w:val="28"/>
        </w:rPr>
        <w:t>SEDE CONCEPCIÓN</w:t>
      </w:r>
    </w:p>
    <w:p>
      <w:pPr>
        <w:spacing w:line="360" w:lineRule="auto" w:after="800" w:before="0"/>
        <w:jc w:val="center"/>
      </w:pPr>
      <w:r>
        <w:rPr>
          <w:rFonts w:ascii="Arial" w:hAnsi="Arial"/>
          <w:b/>
          <w:i w:val="0"/>
          <w:sz w:val="24"/>
        </w:rPr>
        <w:t>Informe de Internado en Farmacia Asistencial y Atención Primaria de Salud</w:t>
      </w:r>
    </w:p>
    <w:p>
      <w:pPr>
        <w:spacing w:line="360" w:lineRule="auto" w:after="40" w:before="0"/>
        <w:jc w:val="center"/>
      </w:pPr>
      <w:r>
        <w:rPr>
          <w:rFonts w:ascii="Arial" w:hAnsi="Arial"/>
          <w:b w:val="0"/>
          <w:i w:val="0"/>
          <w:sz w:val="24"/>
        </w:rPr>
        <w:t>Lugar de Internado</w:t>
      </w:r>
    </w:p>
    <w:p>
      <w:pPr>
        <w:spacing w:line="360" w:lineRule="auto" w:after="880" w:before="0"/>
        <w:jc w:val="center"/>
      </w:pPr>
      <w:r>
        <w:rPr>
          <w:rFonts w:ascii="Arial" w:hAnsi="Arial"/>
          <w:b/>
          <w:i w:val="0"/>
          <w:sz w:val="28"/>
        </w:rPr>
        <w:t>Centro de Salud Familiar Villa Nonguén, Concepción</w:t>
      </w:r>
    </w:p>
    <w:p>
      <w:pPr>
        <w:spacing w:line="360" w:lineRule="auto" w:after="40" w:before="0"/>
        <w:jc w:val="center"/>
      </w:pPr>
      <w:r>
        <w:rPr>
          <w:rFonts w:ascii="Arial" w:hAnsi="Arial"/>
          <w:b w:val="0"/>
          <w:i w:val="0"/>
          <w:sz w:val="24"/>
        </w:rPr>
        <w:t>Estudiante</w:t>
      </w:r>
    </w:p>
    <w:p>
      <w:pPr>
        <w:spacing w:line="360" w:lineRule="auto" w:after="880" w:before="0"/>
        <w:jc w:val="center"/>
      </w:pPr>
      <w:r>
        <w:rPr>
          <w:rFonts w:ascii="Arial" w:hAnsi="Arial"/>
          <w:b/>
          <w:i w:val="0"/>
          <w:sz w:val="24"/>
        </w:rPr>
        <w:t>Bastián Alonso Espinoza Palma</w:t>
      </w:r>
    </w:p>
    <w:p>
      <w:pPr>
        <w:spacing w:line="360" w:lineRule="auto" w:after="40" w:before="0"/>
        <w:jc w:val="center"/>
      </w:pPr>
      <w:r>
        <w:rPr>
          <w:rFonts w:ascii="Arial" w:hAnsi="Arial"/>
          <w:b w:val="0"/>
          <w:i w:val="0"/>
          <w:sz w:val="22"/>
        </w:rPr>
        <w:t>Docente Tutor: Q.F. de la Unidad de Farmacia, CESFAM Villa Nonguén</w:t>
      </w:r>
    </w:p>
    <w:p>
      <w:pPr>
        <w:spacing w:line="360" w:lineRule="auto" w:after="800" w:before="0"/>
        <w:jc w:val="center"/>
      </w:pPr>
      <w:r>
        <w:rPr>
          <w:rFonts w:ascii="Arial" w:hAnsi="Arial"/>
          <w:b w:val="0"/>
          <w:i w:val="0"/>
          <w:sz w:val="22"/>
        </w:rPr>
        <w:t>Docente Supervisor: Escuela de Química y Farmacia, USS</w:t>
      </w:r>
    </w:p>
    <w:p>
      <w:pPr>
        <w:spacing w:line="360" w:lineRule="auto" w:after="40" w:before="0"/>
        <w:jc w:val="center"/>
      </w:pPr>
      <w:r>
        <w:rPr>
          <w:rFonts w:ascii="Arial" w:hAnsi="Arial"/>
          <w:b w:val="0"/>
          <w:i w:val="0"/>
          <w:sz w:val="24"/>
        </w:rPr>
        <w:t>Concepción, Chile</w:t>
      </w:r>
    </w:p>
    <w:p>
      <w:pPr>
        <w:spacing w:line="360" w:lineRule="auto" w:after="120" w:before="0"/>
        <w:jc w:val="center"/>
      </w:pPr>
      <w:r>
        <w:rPr>
          <w:rFonts w:ascii="Arial" w:hAnsi="Arial"/>
          <w:b w:val="0"/>
          <w:i w:val="0"/>
          <w:sz w:val="24"/>
        </w:rPr>
        <w:t>Julio de 2026</w:t>
      </w:r>
    </w:p>
    <w:p>
      <w:pPr>
        <w:sectPr>
          <w:pgSz w:w="12240" w:h="15840"/>
          <w:pgMar w:top="1417" w:right="1417" w:bottom="1417" w:left="2268" w:header="720" w:footer="720" w:gutter="0"/>
          <w:cols w:space="720"/>
          <w:docGrid w:linePitch="360"/>
        </w:sectPr>
      </w:pPr>
    </w:p>
    <w:p>
      <w:pPr>
        <w:pStyle w:val="Heading1"/>
      </w:pPr>
      <w:r>
        <w:t>TABLA DE CONTENIDOS</w:t>
      </w:r>
    </w:p>
    <w:p>
      <w:r>
        <w:fldChar w:fldCharType="begin"/>
      </w:r>
      <w:r>
        <w:instrText xml:space="preserve"> TOC \o "1-3" \h \z \u </w:instrText>
      </w:r>
      <w:r>
        <w:fldChar w:fldCharType="separate"/>
      </w:r>
      <w:r>
        <w:t>Actualice este campo en Word (clic derecho sobre la tabla y Actualizar campos).</w:t>
      </w:r>
      <w:r>
        <w:fldChar w:fldCharType="end"/>
      </w:r>
    </w:p>
    <w:p>
      <w:r>
        <w:br w:type="page"/>
      </w:r>
    </w:p>
    <w:p>
      <w:pPr>
        <w:pStyle w:val="Heading1"/>
      </w:pPr>
      <w:r>
        <w:t>ÍNDICE DE TABLAS</w:t>
      </w:r>
    </w:p>
    <w:p>
      <w:r>
        <w:fldChar w:fldCharType="begin"/>
      </w:r>
      <w:r>
        <w:instrText xml:space="preserve"> TOC \h \z \c "Tabla" </w:instrText>
      </w:r>
      <w:r>
        <w:fldChar w:fldCharType="separate"/>
      </w:r>
      <w:r>
        <w:t>Actualice este campo en Word (clic derecho y Actualizar campos).</w:t>
      </w:r>
      <w:r>
        <w:fldChar w:fldCharType="end"/>
      </w:r>
    </w:p>
    <w:p>
      <w:pPr>
        <w:pStyle w:val="Heading1"/>
      </w:pPr>
      <w:r>
        <w:t>ÍNDICE DE FIGURAS</w:t>
      </w:r>
    </w:p>
    <w:p>
      <w:r>
        <w:fldChar w:fldCharType="begin"/>
      </w:r>
      <w:r>
        <w:instrText xml:space="preserve"> TOC \h \z \c "Figura" </w:instrText>
      </w:r>
      <w:r>
        <w:fldChar w:fldCharType="separate"/>
      </w:r>
      <w:r>
        <w:t>Actualice este campo en Word (clic derecho y Actualizar campos).</w:t>
      </w:r>
      <w:r>
        <w:fldChar w:fldCharType="end"/>
      </w:r>
    </w:p>
    <w:p>
      <w:r>
        <w:br w:type="page"/>
      </w:r>
    </w:p>
    <w:p>
      <w:pPr>
        <w:pStyle w:val="Heading1"/>
      </w:pPr>
      <w: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pPr>
        <w:sectPr>
          <w:footerReference w:type="default" r:id="rId9"/>
          <w:pgSz w:w="12240" w:h="15840"/>
          <w:pgMar w:top="1417" w:right="1417" w:bottom="1417" w:left="2268" w:header="720" w:footer="720" w:gutter="0"/>
          <w:cols w:space="720"/>
          <w:docGrid w:linePitch="360"/>
          <w:pgNumType w:fmt="lowerRoman" w:start="2"/>
        </w:sectPr>
      </w:pPr>
    </w:p>
    <w:p>
      <w:pPr>
        <w:pStyle w:val="Heading1"/>
      </w:pPr>
      <w:r>
        <w:t>INTRODUCCIÓN</w:t>
      </w:r>
    </w:p>
    <w:p>
      <w:r>
        <w:rPr>
          <w:b w:val="0"/>
          <w:i w:val="0"/>
        </w:rPr>
        <w:t>El presente informe reúne la experiencia desarrollada durante el Internado en Farmacia Asistencial y Atención Primaria de Salud, realizado en la unidad de farmacia del Centro de Salud Familiar (CESFAM) Villa Nonguén, en la comuna de Concepción, Región del Biobío.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Aspectos generales del centro de internado</w:t>
      </w:r>
    </w:p>
    <w:p>
      <w:r>
        <w:rPr>
          <w:b w:val="0"/>
          <w:i w:val="0"/>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el apoyo de la organización italiana CESTAS y financiamiento de la cooperación del Gobierno de Italia y de la Unión Europea, elaboraron un proyecto de salud comunitaria para el sector. El establecimiento inició sus funciones asistenciales en 1991 y, en 1993, fue seleccionado por el Ministerio de Salud como uno de los centros piloto para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r>
        <w:rPr>
          <w:b w:val="0"/>
          <w:i w:val="0"/>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jc w:val="left"/>
            </w:pPr>
            <w:r/>
            <w:r>
              <w:rPr>
                <w:rFonts w:ascii="Arial" w:hAnsi="Arial"/>
                <w:sz w:val="20"/>
              </w:rPr>
              <w:t>Dependencia administrativa</w:t>
            </w:r>
          </w:p>
        </w:tc>
        <w:tc>
          <w:tcPr>
            <w:tcW w:type="dxa" w:w="5386"/>
          </w:tcPr>
          <w:p>
            <w:pPr>
              <w:spacing w:after="40"/>
              <w:jc w:val="left"/>
            </w:pPr>
            <w:r/>
            <w:r>
              <w:rPr>
                <w:rFonts w:ascii="Arial" w:hAnsi="Arial"/>
                <w:sz w:val="20"/>
              </w:rPr>
              <w:t>Administración delegada, COSADES, Servicio de Salud Concepción</w:t>
            </w:r>
          </w:p>
        </w:tc>
      </w:tr>
      <w:tr>
        <w:tc>
          <w:tcPr>
            <w:tcW w:type="dxa" w:w="3118"/>
          </w:tcPr>
          <w:p>
            <w:pPr>
              <w:spacing w:after="40"/>
              <w:jc w:val="left"/>
            </w:pPr>
            <w:r/>
            <w:r>
              <w:rPr>
                <w:rFonts w:ascii="Arial" w:hAnsi="Arial"/>
                <w:sz w:val="20"/>
              </w:rPr>
              <w:t>Nivel de atención</w:t>
            </w:r>
          </w:p>
        </w:tc>
        <w:tc>
          <w:tcPr>
            <w:tcW w:type="dxa" w:w="5386"/>
          </w:tcPr>
          <w:p>
            <w:pPr>
              <w:spacing w:after="40"/>
              <w:jc w:val="left"/>
            </w:pPr>
            <w:r/>
            <w:r>
              <w:rPr>
                <w:rFonts w:ascii="Arial" w:hAnsi="Arial"/>
                <w:sz w:val="20"/>
              </w:rPr>
              <w:t>Primario (Atención Primaria de Salud)</w:t>
            </w:r>
          </w:p>
        </w:tc>
      </w:tr>
      <w:tr>
        <w:tc>
          <w:tcPr>
            <w:tcW w:type="dxa" w:w="3118"/>
          </w:tcPr>
          <w:p>
            <w:pPr>
              <w:spacing w:after="40"/>
              <w:jc w:val="left"/>
            </w:pPr>
            <w:r/>
            <w:r>
              <w:rPr>
                <w:rFonts w:ascii="Arial" w:hAnsi="Arial"/>
                <w:sz w:val="20"/>
              </w:rPr>
              <w:t>Dirección</w:t>
            </w:r>
          </w:p>
        </w:tc>
        <w:tc>
          <w:tcPr>
            <w:tcW w:type="dxa" w:w="5386"/>
          </w:tcPr>
          <w:p>
            <w:pPr>
              <w:spacing w:after="40"/>
              <w:jc w:val="left"/>
            </w:pPr>
            <w:r/>
            <w:r>
              <w:rPr>
                <w:rFonts w:ascii="Arial" w:hAnsi="Arial"/>
                <w:sz w:val="20"/>
              </w:rPr>
              <w:t>Río Loa 1397, Villa Nonguén, Concepción, Región del Biobío</w:t>
            </w:r>
          </w:p>
        </w:tc>
      </w:tr>
      <w:tr>
        <w:tc>
          <w:tcPr>
            <w:tcW w:type="dxa" w:w="3118"/>
          </w:tcPr>
          <w:p>
            <w:pPr>
              <w:spacing w:after="40"/>
              <w:jc w:val="left"/>
            </w:pPr>
            <w:r/>
            <w:r>
              <w:rPr>
                <w:rFonts w:ascii="Arial" w:hAnsi="Arial"/>
                <w:sz w:val="20"/>
              </w:rPr>
              <w:t>Población inscrita validada</w:t>
            </w:r>
          </w:p>
        </w:tc>
        <w:tc>
          <w:tcPr>
            <w:tcW w:type="dxa" w:w="5386"/>
          </w:tcPr>
          <w:p>
            <w:pPr>
              <w:spacing w:after="40"/>
              <w:jc w:val="left"/>
            </w:pPr>
            <w:r/>
            <w:r>
              <w:rPr>
                <w:rFonts w:ascii="Arial" w:hAnsi="Arial"/>
                <w:sz w:val="20"/>
              </w:rPr>
              <w:t>16.760 personas aproximadamente</w:t>
            </w:r>
          </w:p>
        </w:tc>
      </w:tr>
      <w:tr>
        <w:tc>
          <w:tcPr>
            <w:tcW w:type="dxa" w:w="3118"/>
          </w:tcPr>
          <w:p>
            <w:pPr>
              <w:spacing w:after="40"/>
              <w:jc w:val="left"/>
            </w:pPr>
            <w:r/>
            <w:r>
              <w:rPr>
                <w:rFonts w:ascii="Arial" w:hAnsi="Arial"/>
                <w:sz w:val="20"/>
              </w:rPr>
              <w:t>Familias registradas</w:t>
            </w:r>
          </w:p>
        </w:tc>
        <w:tc>
          <w:tcPr>
            <w:tcW w:type="dxa" w:w="5386"/>
          </w:tcPr>
          <w:p>
            <w:pPr>
              <w:spacing w:after="40"/>
              <w:jc w:val="left"/>
            </w:pPr>
            <w:r/>
            <w:r>
              <w:rPr>
                <w:rFonts w:ascii="Arial" w:hAnsi="Arial"/>
                <w:sz w:val="20"/>
              </w:rPr>
              <w:t>5.560 (promedio de 3,1 integrantes por familia)</w:t>
            </w:r>
          </w:p>
        </w:tc>
      </w:tr>
      <w:tr>
        <w:tc>
          <w:tcPr>
            <w:tcW w:type="dxa" w:w="3118"/>
          </w:tcPr>
          <w:p>
            <w:pPr>
              <w:spacing w:after="40"/>
              <w:jc w:val="left"/>
            </w:pPr>
            <w:r/>
            <w:r>
              <w:rPr>
                <w:rFonts w:ascii="Arial" w:hAnsi="Arial"/>
                <w:sz w:val="20"/>
              </w:rPr>
              <w:t>Sectorización</w:t>
            </w:r>
          </w:p>
        </w:tc>
        <w:tc>
          <w:tcPr>
            <w:tcW w:type="dxa" w:w="5386"/>
          </w:tcPr>
          <w:p>
            <w:pPr>
              <w:spacing w:after="40"/>
              <w:jc w:val="left"/>
            </w:pPr>
            <w:r/>
            <w:r>
              <w:rPr>
                <w:rFonts w:ascii="Arial" w:hAnsi="Arial"/>
                <w:sz w:val="20"/>
              </w:rPr>
              <w:t>Cuatro sectores: verde, azul, café y blanco</w:t>
            </w:r>
          </w:p>
        </w:tc>
      </w:tr>
      <w:tr>
        <w:tc>
          <w:tcPr>
            <w:tcW w:type="dxa" w:w="3118"/>
          </w:tcPr>
          <w:p>
            <w:pPr>
              <w:spacing w:after="40"/>
              <w:jc w:val="left"/>
            </w:pPr>
            <w:r/>
            <w:r>
              <w:rPr>
                <w:rFonts w:ascii="Arial" w:hAnsi="Arial"/>
                <w:sz w:val="20"/>
              </w:rPr>
              <w:t>Dotación total</w:t>
            </w:r>
          </w:p>
        </w:tc>
        <w:tc>
          <w:tcPr>
            <w:tcW w:type="dxa" w:w="5386"/>
          </w:tcPr>
          <w:p>
            <w:pPr>
              <w:spacing w:after="40"/>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jc w:val="left"/>
            </w:pPr>
            <w:r/>
            <w:r>
              <w:rPr>
                <w:rFonts w:ascii="Arial" w:hAnsi="Arial"/>
                <w:sz w:val="20"/>
              </w:rPr>
              <w:t>Médico</w:t>
            </w:r>
          </w:p>
        </w:tc>
        <w:tc>
          <w:tcPr>
            <w:tcW w:type="dxa" w:w="1077"/>
          </w:tcPr>
          <w:p>
            <w:pPr>
              <w:spacing w:after="40"/>
              <w:jc w:val="left"/>
            </w:pPr>
            <w:r/>
            <w:r>
              <w:rPr>
                <w:rFonts w:ascii="Arial" w:hAnsi="Arial"/>
                <w:sz w:val="20"/>
              </w:rPr>
              <w:t>14</w:t>
            </w:r>
          </w:p>
        </w:tc>
        <w:tc>
          <w:tcPr>
            <w:tcW w:type="dxa" w:w="3175"/>
          </w:tcPr>
          <w:p>
            <w:pPr>
              <w:spacing w:after="40"/>
              <w:jc w:val="left"/>
            </w:pPr>
            <w:r/>
            <w:r>
              <w:rPr>
                <w:rFonts w:ascii="Arial" w:hAnsi="Arial"/>
                <w:sz w:val="20"/>
              </w:rPr>
              <w:t>Enfermera/o</w:t>
            </w:r>
          </w:p>
        </w:tc>
        <w:tc>
          <w:tcPr>
            <w:tcW w:type="dxa" w:w="1077"/>
          </w:tcPr>
          <w:p>
            <w:pPr>
              <w:spacing w:after="40"/>
              <w:jc w:val="left"/>
            </w:pPr>
            <w:r/>
            <w:r>
              <w:rPr>
                <w:rFonts w:ascii="Arial" w:hAnsi="Arial"/>
                <w:sz w:val="20"/>
              </w:rPr>
              <w:t>11</w:t>
            </w:r>
          </w:p>
        </w:tc>
      </w:tr>
      <w:tr>
        <w:tc>
          <w:tcPr>
            <w:tcW w:type="dxa" w:w="3175"/>
          </w:tcPr>
          <w:p>
            <w:pPr>
              <w:spacing w:after="40"/>
              <w:jc w:val="left"/>
            </w:pPr>
            <w:r/>
            <w:r>
              <w:rPr>
                <w:rFonts w:ascii="Arial" w:hAnsi="Arial"/>
                <w:sz w:val="20"/>
              </w:rPr>
              <w:t>Odontólogo</w:t>
            </w:r>
          </w:p>
        </w:tc>
        <w:tc>
          <w:tcPr>
            <w:tcW w:type="dxa" w:w="1077"/>
          </w:tcPr>
          <w:p>
            <w:pPr>
              <w:spacing w:after="40"/>
              <w:jc w:val="left"/>
            </w:pPr>
            <w:r/>
            <w:r>
              <w:rPr>
                <w:rFonts w:ascii="Arial" w:hAnsi="Arial"/>
                <w:sz w:val="20"/>
              </w:rPr>
              <w:t>7</w:t>
            </w:r>
          </w:p>
        </w:tc>
        <w:tc>
          <w:tcPr>
            <w:tcW w:type="dxa" w:w="3175"/>
          </w:tcPr>
          <w:p>
            <w:pPr>
              <w:spacing w:after="40"/>
              <w:jc w:val="left"/>
            </w:pPr>
            <w:r/>
            <w:r>
              <w:rPr>
                <w:rFonts w:ascii="Arial" w:hAnsi="Arial"/>
                <w:sz w:val="20"/>
              </w:rPr>
              <w:t>Matrona</w:t>
            </w:r>
          </w:p>
        </w:tc>
        <w:tc>
          <w:tcPr>
            <w:tcW w:type="dxa" w:w="1077"/>
          </w:tcPr>
          <w:p>
            <w:pPr>
              <w:spacing w:after="40"/>
              <w:jc w:val="left"/>
            </w:pPr>
            <w:r/>
            <w:r>
              <w:rPr>
                <w:rFonts w:ascii="Arial" w:hAnsi="Arial"/>
                <w:sz w:val="20"/>
              </w:rPr>
              <w:t>8</w:t>
            </w:r>
          </w:p>
        </w:tc>
      </w:tr>
      <w:tr>
        <w:tc>
          <w:tcPr>
            <w:tcW w:type="dxa" w:w="3175"/>
          </w:tcPr>
          <w:p>
            <w:pPr>
              <w:spacing w:after="40"/>
              <w:jc w:val="left"/>
            </w:pPr>
            <w:r/>
            <w:r>
              <w:rPr>
                <w:rFonts w:ascii="Arial" w:hAnsi="Arial"/>
                <w:sz w:val="20"/>
              </w:rPr>
              <w:t>Químico farmacéutico</w:t>
            </w:r>
          </w:p>
        </w:tc>
        <w:tc>
          <w:tcPr>
            <w:tcW w:type="dxa" w:w="1077"/>
          </w:tcPr>
          <w:p>
            <w:pPr>
              <w:spacing w:after="40"/>
              <w:jc w:val="left"/>
            </w:pPr>
            <w:r/>
            <w:r>
              <w:rPr>
                <w:rFonts w:ascii="Arial" w:hAnsi="Arial"/>
                <w:sz w:val="20"/>
              </w:rPr>
              <w:t>3</w:t>
            </w:r>
          </w:p>
        </w:tc>
        <w:tc>
          <w:tcPr>
            <w:tcW w:type="dxa" w:w="3175"/>
          </w:tcPr>
          <w:p>
            <w:pPr>
              <w:spacing w:after="40"/>
              <w:jc w:val="left"/>
            </w:pPr>
            <w:r/>
            <w:r>
              <w:rPr>
                <w:rFonts w:ascii="Arial" w:hAnsi="Arial"/>
                <w:sz w:val="20"/>
              </w:rPr>
              <w:t>Kinesiólogo</w:t>
            </w:r>
          </w:p>
        </w:tc>
        <w:tc>
          <w:tcPr>
            <w:tcW w:type="dxa" w:w="1077"/>
          </w:tcPr>
          <w:p>
            <w:pPr>
              <w:spacing w:after="40"/>
              <w:jc w:val="left"/>
            </w:pPr>
            <w:r/>
            <w:r>
              <w:rPr>
                <w:rFonts w:ascii="Arial" w:hAnsi="Arial"/>
                <w:sz w:val="20"/>
              </w:rPr>
              <w:t>3</w:t>
            </w:r>
          </w:p>
        </w:tc>
      </w:tr>
      <w:tr>
        <w:tc>
          <w:tcPr>
            <w:tcW w:type="dxa" w:w="3175"/>
          </w:tcPr>
          <w:p>
            <w:pPr>
              <w:spacing w:after="40"/>
              <w:jc w:val="left"/>
            </w:pPr>
            <w:r/>
            <w:r>
              <w:rPr>
                <w:rFonts w:ascii="Arial" w:hAnsi="Arial"/>
                <w:sz w:val="20"/>
              </w:rPr>
              <w:t>Nutricionista</w:t>
            </w:r>
          </w:p>
        </w:tc>
        <w:tc>
          <w:tcPr>
            <w:tcW w:type="dxa" w:w="1077"/>
          </w:tcPr>
          <w:p>
            <w:pPr>
              <w:spacing w:after="40"/>
              <w:jc w:val="left"/>
            </w:pPr>
            <w:r/>
            <w:r>
              <w:rPr>
                <w:rFonts w:ascii="Arial" w:hAnsi="Arial"/>
                <w:sz w:val="20"/>
              </w:rPr>
              <w:t>3</w:t>
            </w:r>
          </w:p>
        </w:tc>
        <w:tc>
          <w:tcPr>
            <w:tcW w:type="dxa" w:w="3175"/>
          </w:tcPr>
          <w:p>
            <w:pPr>
              <w:spacing w:after="40"/>
              <w:jc w:val="left"/>
            </w:pPr>
            <w:r/>
            <w:r>
              <w:rPr>
                <w:rFonts w:ascii="Arial" w:hAnsi="Arial"/>
                <w:sz w:val="20"/>
              </w:rPr>
              <w:t>Psicólogo</w:t>
            </w:r>
          </w:p>
        </w:tc>
        <w:tc>
          <w:tcPr>
            <w:tcW w:type="dxa" w:w="1077"/>
          </w:tcPr>
          <w:p>
            <w:pPr>
              <w:spacing w:after="40"/>
              <w:jc w:val="left"/>
            </w:pPr>
            <w:r/>
            <w:r>
              <w:rPr>
                <w:rFonts w:ascii="Arial" w:hAnsi="Arial"/>
                <w:sz w:val="20"/>
              </w:rPr>
              <w:t>6</w:t>
            </w:r>
          </w:p>
        </w:tc>
      </w:tr>
      <w:tr>
        <w:tc>
          <w:tcPr>
            <w:tcW w:type="dxa" w:w="3175"/>
          </w:tcPr>
          <w:p>
            <w:pPr>
              <w:spacing w:after="40"/>
              <w:jc w:val="left"/>
            </w:pPr>
            <w:r/>
            <w:r>
              <w:rPr>
                <w:rFonts w:ascii="Arial" w:hAnsi="Arial"/>
                <w:sz w:val="20"/>
              </w:rPr>
              <w:t>Trabajador social</w:t>
            </w:r>
          </w:p>
        </w:tc>
        <w:tc>
          <w:tcPr>
            <w:tcW w:type="dxa" w:w="1077"/>
          </w:tcPr>
          <w:p>
            <w:pPr>
              <w:spacing w:after="40"/>
              <w:jc w:val="left"/>
            </w:pPr>
            <w:r/>
            <w:r>
              <w:rPr>
                <w:rFonts w:ascii="Arial" w:hAnsi="Arial"/>
                <w:sz w:val="20"/>
              </w:rPr>
              <w:t>5</w:t>
            </w:r>
          </w:p>
        </w:tc>
        <w:tc>
          <w:tcPr>
            <w:tcW w:type="dxa" w:w="3175"/>
          </w:tcPr>
          <w:p>
            <w:pPr>
              <w:spacing w:after="40"/>
              <w:jc w:val="left"/>
            </w:pPr>
            <w:r/>
            <w:r>
              <w:rPr>
                <w:rFonts w:ascii="Arial" w:hAnsi="Arial"/>
                <w:sz w:val="20"/>
              </w:rPr>
              <w:t>Podólogo</w:t>
            </w:r>
          </w:p>
        </w:tc>
        <w:tc>
          <w:tcPr>
            <w:tcW w:type="dxa" w:w="1077"/>
          </w:tcPr>
          <w:p>
            <w:pPr>
              <w:spacing w:after="40"/>
              <w:jc w:val="left"/>
            </w:pPr>
            <w:r/>
            <w:r>
              <w:rPr>
                <w:rFonts w:ascii="Arial" w:hAnsi="Arial"/>
                <w:sz w:val="20"/>
              </w:rPr>
              <w:t>1</w:t>
            </w:r>
          </w:p>
        </w:tc>
      </w:tr>
      <w:tr>
        <w:tc>
          <w:tcPr>
            <w:tcW w:type="dxa" w:w="3175"/>
          </w:tcPr>
          <w:p>
            <w:pPr>
              <w:spacing w:after="40"/>
              <w:jc w:val="left"/>
            </w:pPr>
            <w:r/>
            <w:r>
              <w:rPr>
                <w:rFonts w:ascii="Arial" w:hAnsi="Arial"/>
                <w:sz w:val="20"/>
              </w:rPr>
              <w:t>Técnico en enfermería</w:t>
            </w:r>
          </w:p>
        </w:tc>
        <w:tc>
          <w:tcPr>
            <w:tcW w:type="dxa" w:w="1077"/>
          </w:tcPr>
          <w:p>
            <w:pPr>
              <w:spacing w:after="40"/>
              <w:jc w:val="left"/>
            </w:pPr>
            <w:r/>
            <w:r>
              <w:rPr>
                <w:rFonts w:ascii="Arial" w:hAnsi="Arial"/>
                <w:sz w:val="20"/>
              </w:rPr>
              <w:t>25</w:t>
            </w:r>
          </w:p>
        </w:tc>
        <w:tc>
          <w:tcPr>
            <w:tcW w:type="dxa" w:w="3175"/>
          </w:tcPr>
          <w:p>
            <w:pPr>
              <w:spacing w:after="40"/>
              <w:jc w:val="left"/>
            </w:pPr>
            <w:r/>
            <w:r>
              <w:rPr>
                <w:rFonts w:ascii="Arial" w:hAnsi="Arial"/>
                <w:sz w:val="20"/>
              </w:rPr>
              <w:t>Secretaria</w:t>
            </w:r>
          </w:p>
        </w:tc>
        <w:tc>
          <w:tcPr>
            <w:tcW w:type="dxa" w:w="1077"/>
          </w:tcPr>
          <w:p>
            <w:pPr>
              <w:spacing w:after="40"/>
              <w:jc w:val="left"/>
            </w:pPr>
            <w:r/>
            <w:r>
              <w:rPr>
                <w:rFonts w:ascii="Arial" w:hAnsi="Arial"/>
                <w:sz w:val="20"/>
              </w:rPr>
              <w:t>11</w:t>
            </w:r>
          </w:p>
        </w:tc>
      </w:tr>
      <w:tr>
        <w:tc>
          <w:tcPr>
            <w:tcW w:type="dxa" w:w="3175"/>
          </w:tcPr>
          <w:p>
            <w:pPr>
              <w:spacing w:after="40"/>
              <w:jc w:val="left"/>
            </w:pPr>
            <w:r/>
            <w:r>
              <w:rPr>
                <w:rFonts w:ascii="Arial" w:hAnsi="Arial"/>
                <w:sz w:val="20"/>
              </w:rPr>
              <w:t>Auxiliar de servicios</w:t>
            </w:r>
          </w:p>
        </w:tc>
        <w:tc>
          <w:tcPr>
            <w:tcW w:type="dxa" w:w="1077"/>
          </w:tcPr>
          <w:p>
            <w:pPr>
              <w:spacing w:after="40"/>
              <w:jc w:val="left"/>
            </w:pPr>
            <w:r/>
            <w:r>
              <w:rPr>
                <w:rFonts w:ascii="Arial" w:hAnsi="Arial"/>
                <w:sz w:val="20"/>
              </w:rPr>
              <w:t>8</w:t>
            </w:r>
          </w:p>
        </w:tc>
        <w:tc>
          <w:tcPr>
            <w:tcW w:type="dxa" w:w="3175"/>
          </w:tcPr>
          <w:p>
            <w:pPr>
              <w:spacing w:after="40"/>
              <w:jc w:val="left"/>
            </w:pPr>
            <w:r/>
            <w:r>
              <w:rPr>
                <w:rFonts w:ascii="Arial" w:hAnsi="Arial"/>
                <w:sz w:val="20"/>
              </w:rPr>
              <w:t>Otros (administrativos y de apoyo)</w:t>
            </w:r>
          </w:p>
        </w:tc>
        <w:tc>
          <w:tcPr>
            <w:tcW w:type="dxa" w:w="1077"/>
          </w:tcPr>
          <w:p>
            <w:pPr>
              <w:spacing w:after="40"/>
              <w:jc w:val="left"/>
            </w:pPr>
            <w:r/>
            <w:r>
              <w:rPr>
                <w:rFonts w:ascii="Arial" w:hAnsi="Arial"/>
                <w:sz w:val="20"/>
              </w:rPr>
              <w:t>10</w:t>
            </w:r>
          </w:p>
        </w:tc>
      </w:tr>
    </w:tbl>
    <w:p>
      <w:pPr>
        <w:spacing w:after="200"/>
      </w:pPr>
      <w:r>
        <w:rPr>
          <w:b w:val="0"/>
          <w:i/>
          <w:sz w:val="20"/>
        </w:rPr>
        <w:t>Nota: La dotación total corresponde a 122 funcionarios. Elaboración a partir de los antecedentes entregados por el establecimiento.</w:t>
      </w:r>
    </w:p>
    <w:p>
      <w:pPr>
        <w:pStyle w:val="Heading2"/>
      </w:pPr>
      <w:r>
        <w:t>Organigrama y distribución de la unidad de farmacia</w:t>
      </w:r>
    </w:p>
    <w:p>
      <w:r>
        <w:rPr>
          <w:b w:val="0"/>
          <w:i w:val="0"/>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w:t>
      </w:r>
    </w:p>
    <w:p>
      <w:pPr>
        <w:spacing w:before="120" w:after="40"/>
        <w:jc w:val="center"/>
      </w:pPr>
      <w:r>
        <w:drawing>
          <wp:inline xmlns:a="http://schemas.openxmlformats.org/drawingml/2006/main" xmlns:pic="http://schemas.openxmlformats.org/drawingml/2006/picture">
            <wp:extent cx="4860000" cy="3363793"/>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1"/>
                    <a:stretch>
                      <a:fillRect/>
                    </a:stretch>
                  </pic:blipFill>
                  <pic:spPr>
                    <a:xfrm>
                      <a:off x="0" y="0"/>
                      <a:ext cx="4860000" cy="3363793"/>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Servicios que brinda el centro</w:t>
      </w:r>
    </w:p>
    <w:p>
      <w:r>
        <w:rPr>
          <w:b w:val="0"/>
          <w:i w:val="0"/>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 en el hall central del establecimiento.</w:t>
      </w:r>
    </w:p>
    <w:p>
      <w:r>
        <w:rPr>
          <w:b w:val="0"/>
          <w:i w:val="0"/>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Terminología y definiciones</w:t>
      </w:r>
    </w:p>
    <w:p>
      <w:r>
        <w:rPr>
          <w:b w:val="0"/>
          <w:i w:val="0"/>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Atención farmacéutica: </w:t>
      </w:r>
      <w:r>
        <w:rPr>
          <w:rFonts w:ascii="Arial" w:hAnsi="Arial"/>
          <w:sz w:val="24"/>
        </w:rPr>
        <w:t>participación del farmacéutico en el cuidado de la persona para aprovechar mejor sus medicamentos y mejorar sus resultados en salud, cooperando con el paciente y el equipo en el diseño, la ejecución y el seguimiento de un plan terapéutico (Bonal et al., 2003).</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y que se clasifican según necesidad, efectividad y seguridad (Comité de Consenso de Granada, 2007).</w:t>
      </w:r>
    </w:p>
    <w:p>
      <w:pPr>
        <w:spacing w:line="360" w:lineRule="auto" w:after="80"/>
        <w:jc w:val="both"/>
      </w:pPr>
      <w:r>
        <w:rPr>
          <w:rFonts w:ascii="Arial" w:hAnsi="Arial"/>
          <w:b/>
          <w:sz w:val="24"/>
        </w:rPr>
        <w:t xml:space="preserve">Modelo CMO: </w:t>
      </w:r>
      <w:r>
        <w:rPr>
          <w:rFonts w:ascii="Arial" w:hAnsi="Arial"/>
          <w:sz w:val="24"/>
        </w:rPr>
        <w:t>marco de atención farmacéutica que ordena el trabajo en torno a tres pilares, Capacidad, Motivación y Oportunidad, orientado a priorizar a los pacientes más complejos, trabajar la adherencia y dar continuidad al seguimiento (Calleja Hernández y Morillo Verdugo, 2016).</w:t>
      </w:r>
    </w:p>
    <w:p>
      <w:pPr>
        <w:pStyle w:val="Heading2"/>
      </w:pPr>
      <w:r>
        <w:t>Objetivos</w:t>
      </w:r>
    </w:p>
    <w:p>
      <w:pPr>
        <w:pStyle w:val="Heading3"/>
      </w:pPr>
      <w:r>
        <w:t>Objetivo general</w:t>
      </w:r>
    </w:p>
    <w:p>
      <w:r>
        <w:rPr>
          <w:b w:val="0"/>
          <w:i w:val="0"/>
        </w:rPr>
        <w:t>Desarrollar las competencias profesionales del químico farmacéutico en el ámbito de la farmacia asistencial y la atención primaria de salud, mediante la integración al equipo de la unidad de farmacia del CESFAM Villa Nonguén y la participación en sus procesos técnicos y clínicos durante el periodo de internado.</w:t>
      </w:r>
    </w:p>
    <w:p>
      <w:pPr>
        <w:pStyle w:val="Heading3"/>
      </w:pPr>
      <w:r>
        <w:t>Objetivos específicos</w:t>
      </w:r>
    </w:p>
    <w:p>
      <w:pPr>
        <w:pStyle w:val="ListNumber"/>
        <w:spacing w:line="360" w:lineRule="auto"/>
      </w:pPr>
      <w:r>
        <w:rPr>
          <w:rFonts w:ascii="Arial" w:hAnsi="Arial"/>
          <w:sz w:val="24"/>
        </w:rPr>
        <w:t>Conocer la estructura organizacional, las funciones del equipo y los procesos administrativos y técnicos de la unidad de farmacia del CESFAM Villa Nonguén.</w:t>
      </w:r>
    </w:p>
    <w:p>
      <w:pPr>
        <w:pStyle w:val="ListNumber"/>
        <w:spacing w:line="360" w:lineRule="auto"/>
      </w:pPr>
      <w:r>
        <w:rPr>
          <w:rFonts w:ascii="Arial" w:hAnsi="Arial"/>
          <w:sz w:val="24"/>
        </w:rPr>
        <w:t>Participar en los procesos de recepción, almacenamiento, gestión de stock, fraccionamiento, reenvasado y dispensación de medicamentos, aplicando las buenas prácticas y resguardando la trazabilidad.</w:t>
      </w:r>
    </w:p>
    <w:p>
      <w:pPr>
        <w:pStyle w:val="ListNumber"/>
        <w:spacing w:line="360" w:lineRule="auto"/>
      </w:pPr>
      <w:r>
        <w:rPr>
          <w:rFonts w:ascii="Arial" w:hAnsi="Arial"/>
          <w:sz w:val="24"/>
        </w:rPr>
        <w:t>Desarrollar actividades de atención farmacéutica, seguimiento farmacoterapéutico y educación sanitaria, incluidas las visitas domiciliarias y la promoción del uso racional de los medicamentos.</w:t>
      </w:r>
    </w:p>
    <w:p>
      <w:pPr>
        <w:pStyle w:val="ListNumber"/>
        <w:spacing w:line="360" w:lineRule="auto"/>
      </w:pPr>
      <w:r>
        <w:rPr>
          <w:rFonts w:ascii="Arial" w:hAnsi="Arial"/>
          <w:sz w:val="24"/>
        </w:rPr>
        <w:t>Diseñar un protocolo de atención farmacéutica domiciliaria basado en el Modelo CMO para los pacientes del Programa de Salud Cardiovascular del CESFAM Villa Nonguén, como trabajo de investigación del internado.</w:t>
      </w:r>
    </w:p>
    <w:p>
      <w:pPr>
        <w:pStyle w:val="Heading1"/>
      </w:pPr>
      <w:r>
        <w:t>ACTIVIDADES REALIZADAS</w:t>
      </w:r>
    </w:p>
    <w:p>
      <w:pPr>
        <w:pStyle w:val="Heading2"/>
      </w:pPr>
      <w:r>
        <w:t>Cronograma de actividades planificadas</w:t>
      </w:r>
    </w:p>
    <w:p>
      <w:r>
        <w:rPr>
          <w:b w:val="0"/>
          <w:i w:val="0"/>
        </w:rPr>
        <w:t>Al inicio del internado se acordó con el equipo de farmacia un plan de trabajo que ordenó la rotación por las distintas tareas de la unidad y reservó tiempo para el desarrollo del trabajo de investigación. La Figura 2 presenta la carta Gantt con las actividades planificadas a lo largo de las nueve semanas de internado, comprendidas entre el 11 de mayo y el 10 de julio de 2026.</w:t>
      </w:r>
    </w:p>
    <w:p>
      <w:pPr>
        <w:spacing w:before="120" w:after="40"/>
        <w:jc w:val="center"/>
      </w:pPr>
      <w:r>
        <w:drawing>
          <wp:inline xmlns:a="http://schemas.openxmlformats.org/drawingml/2006/main" xmlns:pic="http://schemas.openxmlformats.org/drawingml/2006/picture">
            <wp:extent cx="5400000" cy="3228558"/>
            <wp:docPr id="2" name="Picture 2"/>
            <wp:cNvGraphicFramePr>
              <a:graphicFrameLocks noChangeAspect="1"/>
            </wp:cNvGraphicFramePr>
            <a:graphic>
              <a:graphicData uri="http://schemas.openxmlformats.org/drawingml/2006/picture">
                <pic:pic>
                  <pic:nvPicPr>
                    <pic:cNvPr id="0" name="fig_gantt_planificadas.png"/>
                    <pic:cNvPicPr/>
                  </pic:nvPicPr>
                  <pic:blipFill>
                    <a:blip r:embed="rId12"/>
                    <a:stretch>
                      <a:fillRect/>
                    </a:stretch>
                  </pic:blipFill>
                  <pic:spPr>
                    <a:xfrm>
                      <a:off x="0" y="0"/>
                      <a:ext cx="5400000" cy="322855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Cronograma de actividades desarrolladas</w:t>
      </w:r>
    </w:p>
    <w:p>
      <w:r>
        <w:rPr>
          <w:b w:val="0"/>
          <w:i w:val="0"/>
        </w:rPr>
        <w:t>La Figura 3 muestra las actividades efectivamente desarrolladas. En términos generales, la ejecución siguió lo planificado, con algunos ajustes propios de la dinámica del establecimiento. El fraccionamiento, la dispensación y la atención farmacéutica se extendieron durante casi todo el periodo, ya que constituyen tareas habituales de la unidad, y se sumaron actividades no previstas al inicio, como el apoyo durante las supervisiones del Servicio de Salud y una situación de vinculación con el medio surgida en terreno.</w:t>
      </w:r>
    </w:p>
    <w:p>
      <w:pPr>
        <w:spacing w:before="120" w:after="40"/>
        <w:jc w:val="center"/>
      </w:pPr>
      <w:r>
        <w:drawing>
          <wp:inline xmlns:a="http://schemas.openxmlformats.org/drawingml/2006/main" xmlns:pic="http://schemas.openxmlformats.org/drawingml/2006/picture">
            <wp:extent cx="5400000" cy="3228558"/>
            <wp:docPr id="3" name="Picture 3"/>
            <wp:cNvGraphicFramePr>
              <a:graphicFrameLocks noChangeAspect="1"/>
            </wp:cNvGraphicFramePr>
            <a:graphic>
              <a:graphicData uri="http://schemas.openxmlformats.org/drawingml/2006/picture">
                <pic:pic>
                  <pic:nvPicPr>
                    <pic:cNvPr id="0" name="fig_gantt_desarrolladas.png"/>
                    <pic:cNvPicPr/>
                  </pic:nvPicPr>
                  <pic:blipFill>
                    <a:blip r:embed="rId13"/>
                    <a:stretch>
                      <a:fillRect/>
                    </a:stretch>
                  </pic:blipFill>
                  <pic:spPr>
                    <a:xfrm>
                      <a:off x="0" y="0"/>
                      <a:ext cx="5400000" cy="3228558"/>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del internado.</w:t>
      </w:r>
    </w:p>
    <w:p>
      <w:r>
        <w:rPr>
          <w:b w:val="0"/>
          <w:i w:val="0"/>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y el algoritmo utilizado, sin que se presentara un caso que ameritara notificar durante la estadía.</w:t>
      </w:r>
    </w:p>
    <w:p>
      <w:pPr>
        <w:pStyle w:val="Heading2"/>
      </w:pPr>
      <w:r>
        <w:t>Descripción de las actividades realizadas</w:t>
      </w:r>
    </w:p>
    <w:p>
      <w:pPr>
        <w:pStyle w:val="Heading3"/>
      </w:pPr>
      <w:r>
        <w:t>Inducción y conocimiento del centro y de la unidad de farmacia</w:t>
      </w:r>
    </w:p>
    <w:p>
      <w:r>
        <w:rPr>
          <w:b w:val="0"/>
          <w:i w:val="0"/>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w:t>
      </w:r>
    </w:p>
    <w:p>
      <w:pPr>
        <w:pStyle w:val="Heading3"/>
      </w:pPr>
      <w:r>
        <w:t>Recepción, almacenamiento y gestión del stock</w:t>
      </w:r>
    </w:p>
    <w:p>
      <w:r>
        <w:rPr>
          <w:b w:val="0"/>
          <w:i w:val="0"/>
        </w:rPr>
        <w:t>Se participó en la recepción y el almacenamiento de los medicamentos que llegan a la unidad, que se adquieren principalmente a través de la Central de Abastecimiento (CENABAST) y que se ordenan resguardando las condiciones de conservación.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w:t>
      </w:r>
    </w:p>
    <w:p>
      <w:pPr>
        <w:pStyle w:val="Heading3"/>
      </w:pPr>
      <w:r>
        <w:t>Fraccionamiento y reenvasado de medicamentos</w:t>
      </w:r>
    </w:p>
    <w:p>
      <w:r>
        <w:rPr>
          <w:b w:val="0"/>
          <w:i w:val="0"/>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w:t>
      </w:r>
    </w:p>
    <w:p>
      <w:pPr>
        <w:pStyle w:val="Heading3"/>
      </w:pPr>
      <w:r>
        <w:t>Dispensación informada de medicamentos</w:t>
      </w:r>
    </w:p>
    <w:p>
      <w:r>
        <w:rPr>
          <w:b w:val="0"/>
          <w:i w:val="0"/>
        </w:rPr>
        <w:t>Se apoyó la dispensación de medicamentos a los usuarios, con lo que se reforzaron el reconocimiento de los principios activos, las presentaciones y su ubicación dentro de la unidad, y las buenas prácticas de entrega. La dispensación se acompañó de la información necesaria para el uso correcto de la terapia, verificando la indicación y resolviendo dudas de los pacientes. También se conocieron los criterios de manejo de los medicamentos sujetos a control legal y la forma de registrar su entrega.</w:t>
      </w:r>
    </w:p>
    <w:p>
      <w:pPr>
        <w:pStyle w:val="Heading3"/>
      </w:pPr>
      <w:r>
        <w:t>Atención farmacéutica y visitas domiciliarias</w:t>
      </w:r>
    </w:p>
    <w:p>
      <w:r>
        <w:rPr>
          <w:b w:val="0"/>
          <w:i w:val="0"/>
        </w:rPr>
        <w:t>La atención farmacéutica fue una de las actividades más significativas del internado.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En una de las salidas a terreno se prestó apoyo a un adulto mayor para regresar a su hogar, situación que reflejó el componente humano y comunitario del trabajo en la atención primaria. Durante una jornada vespertina se observó, además, el funcionamiento de la farmacia en el horario de la tarde y el procedimiento de cierre de la unidad.</w:t>
      </w:r>
    </w:p>
    <w:p>
      <w:pPr>
        <w:pStyle w:val="Heading3"/>
      </w:pPr>
      <w:r>
        <w:t>Control de indicadores y registros de despacho</w:t>
      </w:r>
    </w:p>
    <w:p>
      <w:r>
        <w:rPr>
          <w:b w:val="0"/>
          <w:i w:val="0"/>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Estas tareas permitieron comprender cómo la unidad mide su actividad, justifica el uso de los recursos y respalda la toma de decisiones y la rendición ante el Servicio de Salud.</w:t>
      </w:r>
    </w:p>
    <w:p>
      <w:pPr>
        <w:pStyle w:val="Heading3"/>
      </w:pPr>
      <w:r>
        <w:t>Inventario y ordenamiento de bodega</w:t>
      </w:r>
    </w:p>
    <w:p>
      <w:r>
        <w:rPr>
          <w:b w:val="0"/>
          <w:i w:val="0"/>
        </w:rPr>
        <w:t>Se participó en las tareas de inventario y en el ordenamiento de la bodega de la unidad, cuidando que las existencias quedaran correctamente ubicadas y que no permanecieran cajas en el piso, tanto por seguridad como por buenas prácticas de almacenamiento. Esta actividad reforzó la importancia del orden y de la conservación adecuada de los medicamentos.</w:t>
      </w:r>
    </w:p>
    <w:p>
      <w:pPr>
        <w:pStyle w:val="Heading3"/>
      </w:pPr>
      <w:r>
        <w:t>Apoyo en supervisiones del Servicio de Salud</w:t>
      </w:r>
    </w:p>
    <w:p>
      <w:r>
        <w:rPr>
          <w:b w:val="0"/>
          <w:i w:val="0"/>
        </w:rPr>
        <w:t>Durante el internado el establecimiento recibió supervisiones e inspecciones del Servicio de Salud. Se acompañó al equipo en la preparación y atención de estas instancias, lo que permitió conocer los aspectos que se evalúan en la unidad de farmacia y la relevancia de mantener los registros y los procesos al día. En paralelo, en algunas de estas jornadas se dispuso de tiempo para avanzar en el trabajo de investigación.</w:t>
      </w:r>
    </w:p>
    <w:p>
      <w:pPr>
        <w:pStyle w:val="Heading3"/>
      </w:pPr>
      <w:r>
        <w:t>Educación sanitaria y promoción del uso racional de medicamentos</w:t>
      </w:r>
    </w:p>
    <w:p>
      <w:r>
        <w:rPr>
          <w:b w:val="0"/>
          <w:i w:val="0"/>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permitió acercar el rol del farmacéutico a la comunidad.</w:t>
      </w:r>
    </w:p>
    <w:p>
      <w:pPr>
        <w:pStyle w:val="Heading2"/>
      </w:pPr>
      <w:r>
        <w:t>Trabajo de investigación del internado</w:t>
      </w:r>
    </w:p>
    <w:p>
      <w:r>
        <w:rPr>
          <w:b w:val="0"/>
          <w:i w:val="0"/>
        </w:rPr>
        <w:t>Como parte del internado, y bajo la supervisión del químico farmacéutico tutor, se desarrolló un trabajo de investigación consistente en el diseño de un protocolo de atención farmacéutica domiciliaria basado en el Modelo CMO para los pacientes del Programa de Salud Cardiovascular del CESFAM Villa Nonguén. El trabajo se enmarca en la necesidad de ordenar y estandarizar la visita domiciliaria del farmacéutico, que en el centro se realizaba con criterio clínico y registro en la ficha, pero sin un procedimiento escrito y común que la hiciera trazable y comparable entre profesionales.</w:t>
      </w:r>
    </w:p>
    <w:p>
      <w:pPr>
        <w:pStyle w:val="Heading3"/>
      </w:pPr>
      <w:r>
        <w:t>Tipo de estudio y periodo</w:t>
      </w:r>
    </w:p>
    <w:p>
      <w:r>
        <w:rPr>
          <w:b w:val="0"/>
          <w:i w:val="0"/>
        </w:rPr>
        <w:t>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entre mayo y julio de 2026, en el CESFAM Villa Nonguén y su territorio.</w:t>
      </w:r>
    </w:p>
    <w:p>
      <w:pPr>
        <w:pStyle w:val="Heading3"/>
      </w:pPr>
      <w:r>
        <w:t>Diagnóstico, población y criterios</w:t>
      </w:r>
    </w:p>
    <w:p>
      <w:r>
        <w:rPr>
          <w:b w:val="0"/>
          <w:i w:val="0"/>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y los tres pilares del Modelo CMO. La Tabla 3 resume las brechas detectadas. El protocolo se orientó a las personas adultas y mayores del Programa de Salud Cardiovascular, con prioridad en quienes toman muchos medicamentos, dependen de un cuidador, se descompensan con frecuencia o tienen dificultades para acudir al centro. Se definieron criterios de inclusión, usuarios del programa mayores de 18 años, descompensados o con control inestable y en seguimiento activo, y criterios de exclusión, como las barreras de comunicación que impiden la entrevista, el deterioro cognitivo importante sin cuidador de apoyo, la residencia fuera del territorio y la inasistencia a controles por más de seis meses.</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jc w:val="left"/>
            </w:pPr>
            <w:r/>
            <w:r>
              <w:rPr>
                <w:rFonts w:ascii="Arial" w:hAnsi="Arial"/>
                <w:sz w:val="18"/>
              </w:rPr>
              <w:t>Capacidad</w:t>
            </w:r>
          </w:p>
        </w:tc>
        <w:tc>
          <w:tcPr>
            <w:tcW w:type="dxa" w:w="2268"/>
          </w:tcPr>
          <w:p>
            <w:pPr>
              <w:spacing w:after="40"/>
              <w:jc w:val="left"/>
            </w:pPr>
            <w:r/>
            <w:r>
              <w:rPr>
                <w:rFonts w:ascii="Arial" w:hAnsi="Arial"/>
                <w:sz w:val="18"/>
              </w:rPr>
              <w:t>Priorizar la visita según el riesgo y la complejidad del paciente.</w:t>
            </w:r>
          </w:p>
        </w:tc>
        <w:tc>
          <w:tcPr>
            <w:tcW w:type="dxa" w:w="2268"/>
          </w:tcPr>
          <w:p>
            <w:pPr>
              <w:spacing w:after="40"/>
              <w:jc w:val="left"/>
            </w:pPr>
            <w:r/>
            <w:r>
              <w:rPr>
                <w:rFonts w:ascii="Arial" w:hAnsi="Arial"/>
                <w:sz w:val="18"/>
              </w:rPr>
              <w:t>El ingreso depende de la derivación y del tiempo disponible (unas 25 visitas al mes).</w:t>
            </w:r>
          </w:p>
        </w:tc>
        <w:tc>
          <w:tcPr>
            <w:tcW w:type="dxa" w:w="2268"/>
          </w:tcPr>
          <w:p>
            <w:pPr>
              <w:spacing w:after="40"/>
              <w:jc w:val="left"/>
            </w:pPr>
            <w:r/>
            <w:r>
              <w:rPr>
                <w:rFonts w:ascii="Arial" w:hAnsi="Arial"/>
                <w:sz w:val="18"/>
              </w:rPr>
              <w:t>No hay un criterio de estratificación de riesgo propio del farmacéutico.</w:t>
            </w:r>
          </w:p>
        </w:tc>
      </w:tr>
      <w:tr>
        <w:tc>
          <w:tcPr>
            <w:tcW w:type="dxa" w:w="1701"/>
          </w:tcPr>
          <w:p>
            <w:pPr>
              <w:spacing w:after="40"/>
              <w:jc w:val="left"/>
            </w:pPr>
            <w:r/>
            <w:r>
              <w:rPr>
                <w:rFonts w:ascii="Arial" w:hAnsi="Arial"/>
                <w:sz w:val="18"/>
              </w:rPr>
              <w:t>Motivación</w:t>
            </w:r>
          </w:p>
        </w:tc>
        <w:tc>
          <w:tcPr>
            <w:tcW w:type="dxa" w:w="2268"/>
          </w:tcPr>
          <w:p>
            <w:pPr>
              <w:spacing w:after="40"/>
              <w:jc w:val="left"/>
            </w:pPr>
            <w:r/>
            <w:r>
              <w:rPr>
                <w:rFonts w:ascii="Arial" w:hAnsi="Arial"/>
                <w:sz w:val="18"/>
              </w:rPr>
              <w:t>Abordar la adherencia con entrevista motivacional estructurada.</w:t>
            </w:r>
          </w:p>
        </w:tc>
        <w:tc>
          <w:tcPr>
            <w:tcW w:type="dxa" w:w="2268"/>
          </w:tcPr>
          <w:p>
            <w:pPr>
              <w:spacing w:after="40"/>
              <w:jc w:val="left"/>
            </w:pPr>
            <w:r/>
            <w:r>
              <w:rPr>
                <w:rFonts w:ascii="Arial" w:hAnsi="Arial"/>
                <w:sz w:val="18"/>
              </w:rPr>
              <w:t>Muchas derivaciones son por adherencia o desconocimiento del tratamiento.</w:t>
            </w:r>
          </w:p>
        </w:tc>
        <w:tc>
          <w:tcPr>
            <w:tcW w:type="dxa" w:w="2268"/>
          </w:tcPr>
          <w:p>
            <w:pPr>
              <w:spacing w:after="40"/>
              <w:jc w:val="left"/>
            </w:pPr>
            <w:r/>
            <w:r>
              <w:rPr>
                <w:rFonts w:ascii="Arial" w:hAnsi="Arial"/>
                <w:sz w:val="18"/>
              </w:rPr>
              <w:t>La educación y el trabajo de barreras dependen de cada visita.</w:t>
            </w:r>
          </w:p>
        </w:tc>
      </w:tr>
      <w:tr>
        <w:tc>
          <w:tcPr>
            <w:tcW w:type="dxa" w:w="1701"/>
          </w:tcPr>
          <w:p>
            <w:pPr>
              <w:spacing w:after="40"/>
              <w:jc w:val="left"/>
            </w:pPr>
            <w:r/>
            <w:r>
              <w:rPr>
                <w:rFonts w:ascii="Arial" w:hAnsi="Arial"/>
                <w:sz w:val="18"/>
              </w:rPr>
              <w:t>Oportunidad</w:t>
            </w:r>
          </w:p>
        </w:tc>
        <w:tc>
          <w:tcPr>
            <w:tcW w:type="dxa" w:w="2268"/>
          </w:tcPr>
          <w:p>
            <w:pPr>
              <w:spacing w:after="40"/>
              <w:jc w:val="left"/>
            </w:pPr>
            <w:r/>
            <w:r>
              <w:rPr>
                <w:rFonts w:ascii="Arial" w:hAnsi="Arial"/>
                <w:sz w:val="18"/>
              </w:rPr>
              <w:t>Registro estructurado y continuidad del seguimiento.</w:t>
            </w:r>
          </w:p>
        </w:tc>
        <w:tc>
          <w:tcPr>
            <w:tcW w:type="dxa" w:w="2268"/>
          </w:tcPr>
          <w:p>
            <w:pPr>
              <w:spacing w:after="40"/>
              <w:jc w:val="left"/>
            </w:pPr>
            <w:r/>
            <w:r>
              <w:rPr>
                <w:rFonts w:ascii="Arial" w:hAnsi="Arial"/>
                <w:sz w:val="18"/>
              </w:rPr>
              <w:t>Registro en la ficha clínica electrónica (SINET Sur); frecuencia según disponibilidad.</w:t>
            </w:r>
          </w:p>
        </w:tc>
        <w:tc>
          <w:tcPr>
            <w:tcW w:type="dxa" w:w="2268"/>
          </w:tcPr>
          <w:p>
            <w:pPr>
              <w:spacing w:after="40"/>
              <w:jc w:val="left"/>
            </w:pPr>
            <w:r/>
            <w:r>
              <w:rPr>
                <w:rFonts w:ascii="Arial" w:hAnsi="Arial"/>
                <w:sz w:val="18"/>
              </w:rPr>
              <w:t>Falta un registro propio de la atención farmacéutica y una pauta común de seguimiento.</w:t>
            </w:r>
          </w:p>
        </w:tc>
      </w:tr>
    </w:tbl>
    <w:p>
      <w:pPr>
        <w:pStyle w:val="Heading3"/>
      </w:pPr>
      <w:r>
        <w:t>Intervenciones, instrumentos y fuentes de información</w:t>
      </w:r>
    </w:p>
    <w:p>
      <w:r>
        <w:rPr>
          <w:b w:val="0"/>
          <w:i w:val="0"/>
        </w:rPr>
        <w:t>El protocolo tradujo los tres pilares del Modelo CMO en pasos concretos. La Capacidad se abordó mediante la priorización de los pacientes y la revisión del botiquín del hogar para conciliar la medicación; la Motivación, mediante la entrevista motivacional orientada a trabajar las creencias y las barreras de adherencia; y la Oportunidad, mediante la continuidad del seguimiento por vía telefónica y el refuerzo del vínculo con la farmacia. Para su aplicación se seleccionaron y adaptaron instrumentos sencillos, compatibles con la rutina del CESFAM, entre ellos el test de Morisky-Green-Levine para la adherencia, la clasificación de los PRM y RNM según el Consenso de Granada, una ficha de conciliación, una ficha de seguimiento farmacoterapéutico, una hoja con el esquema de horarios y un protocolo de llamada telefónica para agendar la visita. La revisión bibliográfica que sustentó estas decisiones se realizó en bases de datos como PubMed, SciELO y Google Scholar, junto con la normativa y las guías del Ministerio de Salud. Como apoyo para la información de medicamentos se consultaron fuentes de referencia como UpToDate, Medscape y Drugs.com.</w:t>
      </w:r>
    </w:p>
    <w:p>
      <w:pPr>
        <w:pStyle w:val="Heading3"/>
      </w:pPr>
      <w:r>
        <w:t>Consideraciones éticas</w:t>
      </w:r>
    </w:p>
    <w:p>
      <w:r>
        <w:rPr>
          <w:b w:val="0"/>
          <w:i w:val="0"/>
        </w:rPr>
        <w:t>Al tratarse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Se resguardaron los principios de confidencialidad y de uso responsable de la información clínica, sin registrar datos que permitieran identificar a pacientes ni modificar tratamientos fuera del trabajo habitual del equipo de salud. La propuesta quedó a disposición de los químicos farmacéuticos del establecimiento para su revisión y eventual incorporación a la práctica.</w:t>
      </w:r>
    </w:p>
    <w:p>
      <w:pPr>
        <w:pStyle w:val="Heading1"/>
      </w:pPr>
      <w:r>
        <w:t>DISCUSIÓN Y CONCLUSIONES</w:t>
      </w:r>
    </w:p>
    <w:p>
      <w:pPr>
        <w:pStyle w:val="Heading2"/>
      </w:pPr>
      <w:r>
        <w:t>Alcances de las actividades realizadas</w:t>
      </w:r>
    </w:p>
    <w:p>
      <w:r>
        <w:rPr>
          <w:b w:val="0"/>
          <w:i w:val="0"/>
        </w:rPr>
        <w:t>El internado permitió conocer de manera directa el funcionamiento de una unidad de farmacia de atención primaria y participar en la mayoría de sus procesos, desde la gestión del arsenal hasta la atención farmacéutica en el domicilio. Las actividades realizadas cubrieron los objetivos planteados y abarcaron tanto tareas de gestión y logística como tareas clínicas y educativas, lo que entregó una visión completa del rol del químico farmacéutico en este nivel de atención. La experiencia confirmó que el trabajo del farmacéutico en la atención primaria no se agota en la entrega del medicamento, sino que se extiende al uso seguro y racional de la terapia, al seguimiento del paciente y a la vinculación con la comunidad.</w:t>
      </w:r>
    </w:p>
    <w:p>
      <w:pPr>
        <w:pStyle w:val="Heading2"/>
      </w:pPr>
      <w:r>
        <w:t>Cumplimiento de los objetivos</w:t>
      </w:r>
    </w:p>
    <w:p>
      <w:r>
        <w:rPr>
          <w:b w:val="0"/>
          <w:i w:val="0"/>
        </w:rPr>
        <w:t>El primer objetivo específico se cumplió al conocer la estructura, las funciones del equipo y los procesos de la unidad de farmacia, tal como se describe en la introducción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El cuarto objetivo se materializó en el diseño del protocolo de atención farmacéutica domiciliaria basado en el Modelo CMO.</w:t>
      </w:r>
    </w:p>
    <w:p>
      <w:r>
        <w:rPr>
          <w:b w:val="0"/>
          <w:i w:val="0"/>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 Suárez et al., 2021; Sánchez Yáñez et al., 2023), aunque su adopción todavía enfrenta barreras organizacionales que conviene anticipar (Álvarez Díaz et al., 2025). Estos antecedentes respaldan la pertinencia del protocolo diseñado durante el internado.</w:t>
      </w:r>
    </w:p>
    <w:p>
      <w:pPr>
        <w:pStyle w:val="Heading2"/>
      </w:pPr>
      <w:r>
        <w:t>Fortalezas y debilidades del centro</w:t>
      </w:r>
    </w:p>
    <w:p>
      <w:r>
        <w:rPr>
          <w:b w:val="0"/>
          <w:i w:val="0"/>
        </w:rPr>
        <w:t>Entre las fortalezas del CESFAM Villa Nonguén destacan su condición de centro pionero en el Modelo de Salud Familiar, un equipo de farmacia consolidado que ya realiza atención farmacéutica en box y en el domicilio, y una cultura de trabajo orientada a la comunidad. La sectorización del territorio y la existencia de indicadores de despacho facilitan la organización de la atención y el uso eficiente de los recursos. Como aspecto por mejorar, se observó que la visita domiciliaria del farmacéutico se realizaba sin un procedimiento escrito y estandarizado, y que el registro se apoyaba en hojas personales además de la ficha clínica electrónica, lo que dificultaba la comparación entre profesionales y el seguimiento en el tiempo. La carga de trabajo y la disponibilidad de tiempo también limitaban la frecuencia de las visitas.</w:t>
      </w:r>
    </w:p>
    <w:p>
      <w:pPr>
        <w:pStyle w:val="Heading2"/>
      </w:pPr>
      <w:r>
        <w:t>Sugerencias y propuestas de mejora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para ordenar el ingreso de los pacientes al seguimiento.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de modo de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Aprovechar la continuidad telefónica y las instancias educativas grupales para mantener el vínculo con los pacientes entre una visita y otra.</w:t>
      </w:r>
    </w:p>
    <w:p>
      <w:pPr>
        <w:pStyle w:val="Heading2"/>
      </w:pPr>
      <w:r>
        <w:t>Conclusiones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conocieron y se aplicaron los procesos técnicos y administrativos de la unidad de farmacia, con especial énfasis en el fraccionamiento, el reenvasado, la dispensación y la gestión del stock, resguardando la trazabilidad y el uso eficiente de los recursos.</w:t>
      </w:r>
    </w:p>
    <w:p>
      <w:pPr>
        <w:pStyle w:val="ListNumber"/>
        <w:spacing w:line="360" w:lineRule="auto"/>
      </w:pPr>
      <w:r>
        <w:rPr>
          <w:rFonts w:ascii="Arial" w:hAnsi="Arial"/>
          <w:sz w:val="24"/>
        </w:rPr>
        <w:t>Se participó de manera activa en la atención farmacéutica, las visitas domiciliarias y la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un protocolo de atención farmacéutica domiciliaria basado en el Modelo CMO para el Programa de Salud Cardiovascular, que aporta una herramienta concreta para ordenar, estandarizar y hacer trazable la visita domiciliaria en el establecimiento.</w:t>
      </w:r>
    </w:p>
    <w:p>
      <w:pPr>
        <w:pStyle w:val="ListNumber"/>
        <w:spacing w:line="360" w:lineRule="auto"/>
      </w:pPr>
      <w:r>
        <w:rPr>
          <w:rFonts w:ascii="Arial" w:hAnsi="Arial"/>
          <w:sz w:val="24"/>
        </w:rPr>
        <w:t>La experiencia confirmó la relevancia de la atención primaria como puerta de entrada al sistema de salud y el valor de un ejercicio profesional basado en la evidencia, la seguridad del paciente y el trabajo en equipo.</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Ministerio de Salud de Chile. (2017).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r>
        <w:rPr>
          <w:b w:val="0"/>
          <w:i w:val="0"/>
        </w:rPr>
        <w:t>Los anexos reúnen los principales instrumentos de apoyo que acompañan al protocolo de atención farmacéutica domiciliaria diseñado durante el internado.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jc w:val="left"/>
            </w:pPr>
            <w:r/>
            <w:r>
              <w:rPr>
                <w:rFonts w:ascii="Arial" w:hAnsi="Arial"/>
                <w:sz w:val="22"/>
              </w:rPr>
              <w:t>1</w:t>
            </w:r>
          </w:p>
        </w:tc>
        <w:tc>
          <w:tcPr>
            <w:tcW w:type="dxa" w:w="5386"/>
          </w:tcPr>
          <w:p>
            <w:pPr>
              <w:spacing w:after="40"/>
              <w:jc w:val="left"/>
            </w:pPr>
            <w:r/>
            <w:r>
              <w:rPr>
                <w:rFonts w:ascii="Arial" w:hAnsi="Arial"/>
                <w:sz w:val="22"/>
              </w:rPr>
              <w:t>¿Olvida alguna vez tomar sus medicamentos?</w:t>
            </w:r>
          </w:p>
        </w:tc>
        <w:tc>
          <w:tcPr>
            <w:tcW w:type="dxa" w:w="2268"/>
          </w:tcPr>
          <w:p>
            <w:pPr>
              <w:spacing w:after="40"/>
              <w:jc w:val="left"/>
            </w:pPr>
            <w:r/>
            <w:r>
              <w:rPr>
                <w:rFonts w:ascii="Arial" w:hAnsi="Arial"/>
                <w:sz w:val="22"/>
              </w:rPr>
              <w:t>No</w:t>
            </w:r>
          </w:p>
        </w:tc>
      </w:tr>
      <w:tr>
        <w:tc>
          <w:tcPr>
            <w:tcW w:type="dxa" w:w="850"/>
          </w:tcPr>
          <w:p>
            <w:pPr>
              <w:spacing w:after="40"/>
              <w:jc w:val="left"/>
            </w:pPr>
            <w:r/>
            <w:r>
              <w:rPr>
                <w:rFonts w:ascii="Arial" w:hAnsi="Arial"/>
                <w:sz w:val="22"/>
              </w:rPr>
              <w:t>2</w:t>
            </w:r>
          </w:p>
        </w:tc>
        <w:tc>
          <w:tcPr>
            <w:tcW w:type="dxa" w:w="5386"/>
          </w:tcPr>
          <w:p>
            <w:pPr>
              <w:spacing w:after="40"/>
              <w:jc w:val="left"/>
            </w:pPr>
            <w:r/>
            <w:r>
              <w:rPr>
                <w:rFonts w:ascii="Arial" w:hAnsi="Arial"/>
                <w:sz w:val="22"/>
              </w:rPr>
              <w:t>¿Toma los medicamentos a la hora indicada?</w:t>
            </w:r>
          </w:p>
        </w:tc>
        <w:tc>
          <w:tcPr>
            <w:tcW w:type="dxa" w:w="2268"/>
          </w:tcPr>
          <w:p>
            <w:pPr>
              <w:spacing w:after="40"/>
              <w:jc w:val="left"/>
            </w:pPr>
            <w:r/>
            <w:r>
              <w:rPr>
                <w:rFonts w:ascii="Arial" w:hAnsi="Arial"/>
                <w:sz w:val="22"/>
              </w:rPr>
              <w:t>Sí</w:t>
            </w:r>
          </w:p>
        </w:tc>
      </w:tr>
      <w:tr>
        <w:tc>
          <w:tcPr>
            <w:tcW w:type="dxa" w:w="850"/>
          </w:tcPr>
          <w:p>
            <w:pPr>
              <w:spacing w:after="40"/>
              <w:jc w:val="left"/>
            </w:pPr>
            <w:r/>
            <w:r>
              <w:rPr>
                <w:rFonts w:ascii="Arial" w:hAnsi="Arial"/>
                <w:sz w:val="22"/>
              </w:rPr>
              <w:t>3</w:t>
            </w:r>
          </w:p>
        </w:tc>
        <w:tc>
          <w:tcPr>
            <w:tcW w:type="dxa" w:w="5386"/>
          </w:tcPr>
          <w:p>
            <w:pPr>
              <w:spacing w:after="40"/>
              <w:jc w:val="left"/>
            </w:pPr>
            <w:r/>
            <w:r>
              <w:rPr>
                <w:rFonts w:ascii="Arial" w:hAnsi="Arial"/>
                <w:sz w:val="22"/>
              </w:rPr>
              <w:t>Cuando se siente bien, ¿deja de tomarlos?</w:t>
            </w:r>
          </w:p>
        </w:tc>
        <w:tc>
          <w:tcPr>
            <w:tcW w:type="dxa" w:w="2268"/>
          </w:tcPr>
          <w:p>
            <w:pPr>
              <w:spacing w:after="40"/>
              <w:jc w:val="left"/>
            </w:pPr>
            <w:r/>
            <w:r>
              <w:rPr>
                <w:rFonts w:ascii="Arial" w:hAnsi="Arial"/>
                <w:sz w:val="22"/>
              </w:rPr>
              <w:t>No</w:t>
            </w:r>
          </w:p>
        </w:tc>
      </w:tr>
      <w:tr>
        <w:tc>
          <w:tcPr>
            <w:tcW w:type="dxa" w:w="850"/>
          </w:tcPr>
          <w:p>
            <w:pPr>
              <w:spacing w:after="40"/>
              <w:jc w:val="left"/>
            </w:pPr>
            <w:r/>
            <w:r>
              <w:rPr>
                <w:rFonts w:ascii="Arial" w:hAnsi="Arial"/>
                <w:sz w:val="22"/>
              </w:rPr>
              <w:t>4</w:t>
            </w:r>
          </w:p>
        </w:tc>
        <w:tc>
          <w:tcPr>
            <w:tcW w:type="dxa" w:w="5386"/>
          </w:tcPr>
          <w:p>
            <w:pPr>
              <w:spacing w:after="40"/>
              <w:jc w:val="left"/>
            </w:pPr>
            <w:r/>
            <w:r>
              <w:rPr>
                <w:rFonts w:ascii="Arial" w:hAnsi="Arial"/>
                <w:sz w:val="22"/>
              </w:rPr>
              <w:t>Si alguna vez le sientan mal, ¿deja de tomarlos?</w:t>
            </w:r>
          </w:p>
        </w:tc>
        <w:tc>
          <w:tcPr>
            <w:tcW w:type="dxa" w:w="2268"/>
          </w:tcPr>
          <w:p>
            <w:pPr>
              <w:spacing w:after="40"/>
              <w:jc w:val="left"/>
            </w:pPr>
            <w:r/>
            <w:r>
              <w:rPr>
                <w:rFonts w:ascii="Arial" w:hAnsi="Arial"/>
                <w:sz w:val="22"/>
              </w:rPr>
              <w:t>No</w:t>
            </w:r>
          </w:p>
        </w:tc>
      </w:tr>
    </w:tbl>
    <w:p>
      <w:r>
        <w:rPr>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jc w:val="left"/>
            </w:pPr>
            <w:r/>
            <w:r>
              <w:rPr>
                <w:rFonts w:ascii="Arial" w:hAnsi="Arial"/>
                <w:sz w:val="22"/>
              </w:rPr>
              <w:t>Necesidad</w:t>
            </w:r>
          </w:p>
        </w:tc>
        <w:tc>
          <w:tcPr>
            <w:tcW w:type="dxa" w:w="3402"/>
          </w:tcPr>
          <w:p>
            <w:pPr>
              <w:spacing w:after="40"/>
              <w:jc w:val="left"/>
            </w:pPr>
            <w:r/>
            <w:r>
              <w:rPr>
                <w:rFonts w:ascii="Arial" w:hAnsi="Arial"/>
                <w:sz w:val="22"/>
              </w:rPr>
              <w:t>¿El paciente usa los medicamentos que necesita?</w:t>
            </w:r>
          </w:p>
        </w:tc>
        <w:tc>
          <w:tcPr>
            <w:tcW w:type="dxa" w:w="3402"/>
          </w:tcPr>
          <w:p>
            <w:pPr>
              <w:spacing w:after="40"/>
              <w:jc w:val="left"/>
            </w:pPr>
            <w:r/>
            <w:r>
              <w:rPr>
                <w:rFonts w:ascii="Arial" w:hAnsi="Arial"/>
                <w:sz w:val="22"/>
              </w:rPr>
              <w:t>Toma un fármaco sin indicación o falta uno que requiere.</w:t>
            </w:r>
          </w:p>
        </w:tc>
      </w:tr>
      <w:tr>
        <w:tc>
          <w:tcPr>
            <w:tcW w:type="dxa" w:w="1701"/>
          </w:tcPr>
          <w:p>
            <w:pPr>
              <w:spacing w:after="40"/>
              <w:jc w:val="left"/>
            </w:pPr>
            <w:r/>
            <w:r>
              <w:rPr>
                <w:rFonts w:ascii="Arial" w:hAnsi="Arial"/>
                <w:sz w:val="22"/>
              </w:rPr>
              <w:t>Efectividad</w:t>
            </w:r>
          </w:p>
        </w:tc>
        <w:tc>
          <w:tcPr>
            <w:tcW w:type="dxa" w:w="3402"/>
          </w:tcPr>
          <w:p>
            <w:pPr>
              <w:spacing w:after="40"/>
              <w:jc w:val="left"/>
            </w:pPr>
            <w:r/>
            <w:r>
              <w:rPr>
                <w:rFonts w:ascii="Arial" w:hAnsi="Arial"/>
                <w:sz w:val="22"/>
              </w:rPr>
              <w:t>¿El tratamiento logra el objetivo buscado?</w:t>
            </w:r>
          </w:p>
        </w:tc>
        <w:tc>
          <w:tcPr>
            <w:tcW w:type="dxa" w:w="3402"/>
          </w:tcPr>
          <w:p>
            <w:pPr>
              <w:spacing w:after="40"/>
              <w:jc w:val="left"/>
            </w:pPr>
            <w:r/>
            <w:r>
              <w:rPr>
                <w:rFonts w:ascii="Arial" w:hAnsi="Arial"/>
                <w:sz w:val="22"/>
              </w:rPr>
              <w:t>No alcanza la meta terapéutica pese a usar el medicamento.</w:t>
            </w:r>
          </w:p>
        </w:tc>
      </w:tr>
      <w:tr>
        <w:tc>
          <w:tcPr>
            <w:tcW w:type="dxa" w:w="1701"/>
          </w:tcPr>
          <w:p>
            <w:pPr>
              <w:spacing w:after="40"/>
              <w:jc w:val="left"/>
            </w:pPr>
            <w:r/>
            <w:r>
              <w:rPr>
                <w:rFonts w:ascii="Arial" w:hAnsi="Arial"/>
                <w:sz w:val="22"/>
              </w:rPr>
              <w:t>Seguridad</w:t>
            </w:r>
          </w:p>
        </w:tc>
        <w:tc>
          <w:tcPr>
            <w:tcW w:type="dxa" w:w="3402"/>
          </w:tcPr>
          <w:p>
            <w:pPr>
              <w:spacing w:after="40"/>
              <w:jc w:val="left"/>
            </w:pPr>
            <w:r/>
            <w:r>
              <w:rPr>
                <w:rFonts w:ascii="Arial" w:hAnsi="Arial"/>
                <w:sz w:val="22"/>
              </w:rPr>
              <w:t>¿El tratamiento es seguro para el paciente?</w:t>
            </w:r>
          </w:p>
        </w:tc>
        <w:tc>
          <w:tcPr>
            <w:tcW w:type="dxa" w:w="3402"/>
          </w:tcPr>
          <w:p>
            <w:pPr>
              <w:spacing w:after="40"/>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sectPr w:rsidR="00FC693F" w:rsidRPr="0006063C" w:rsidSect="00034616">
      <w:footerReference w:type="default" r:id="rId10"/>
      <w:pgSz w:w="12240" w:h="15840"/>
      <w:pgMar w:top="1417" w:right="1417" w:bottom="1417"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line="360" w:lineRule="auto"/>
      <w:jc w:val="center"/>
      <w:outlineLvl w:val="0"/>
    </w:pPr>
    <w:rPr>
      <w:rFonts w:asciiTheme="majorHAnsi" w:eastAsiaTheme="majorEastAsia" w:hAnsiTheme="majorHAnsi" w:cstheme="majorBidi" w:ascii="Arial" w:hAnsi="Arial" w:eastAsia="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