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383AE" w14:textId="6ECC1FC2" w:rsidR="00837CF9" w:rsidRDefault="00655F1B">
      <w:pPr>
        <w:rPr>
          <w:rFonts w:ascii="Arial" w:hAnsi="Arial" w:cs="Arial"/>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rFonts w:ascii="Arial" w:hAnsi="Arial" w:cs="Arial"/>
          <w:b/>
          <w:bCs/>
          <w:sz w:val="28"/>
          <w:szCs w:val="28"/>
          <w:lang w:val="es-MX"/>
        </w:rPr>
        <w:t xml:space="preserve"> </w:t>
      </w:r>
      <w:r w:rsidR="00F77CEC">
        <w:rPr>
          <w:rFonts w:ascii="Arial" w:hAnsi="Arial" w:cs="Arial"/>
          <w:b/>
          <w:bCs/>
          <w:sz w:val="28"/>
          <w:szCs w:val="28"/>
          <w:lang w:val="es-MX"/>
        </w:rPr>
        <w:tab/>
      </w:r>
    </w:p>
    <w:p w14:paraId="53325E28" w14:textId="4E530C02" w:rsidR="00837CF9" w:rsidRDefault="00837CF9">
      <w:pPr>
        <w:rPr>
          <w:rFonts w:ascii="Arial" w:hAnsi="Arial" w:cs="Arial"/>
          <w:b/>
          <w:bCs/>
          <w:sz w:val="28"/>
          <w:szCs w:val="28"/>
          <w:lang w:val="es-MX"/>
        </w:rPr>
      </w:pPr>
    </w:p>
    <w:p w14:paraId="63007CA5" w14:textId="24BAB091" w:rsidR="00837CF9" w:rsidRDefault="00837CF9">
      <w:pPr>
        <w:rPr>
          <w:rFonts w:ascii="Arial" w:hAnsi="Arial" w:cs="Arial"/>
          <w:b/>
          <w:bCs/>
          <w:sz w:val="28"/>
          <w:szCs w:val="28"/>
          <w:lang w:val="es-MX"/>
        </w:rPr>
      </w:pPr>
    </w:p>
    <w:p w14:paraId="2914705C" w14:textId="1027506B" w:rsidR="00837CF9" w:rsidRDefault="00837CF9">
      <w:pPr>
        <w:rPr>
          <w:rFonts w:ascii="Arial" w:hAnsi="Arial" w:cs="Arial"/>
          <w:b/>
          <w:bCs/>
          <w:sz w:val="28"/>
          <w:szCs w:val="28"/>
          <w:lang w:val="es-MX"/>
        </w:rPr>
      </w:pPr>
    </w:p>
    <w:p w14:paraId="4F44C7ED" w14:textId="1CB6ABA3" w:rsidR="00837CF9" w:rsidRDefault="00837CF9">
      <w:pPr>
        <w:rPr>
          <w:rFonts w:ascii="Arial" w:hAnsi="Arial" w:cs="Arial"/>
          <w:b/>
          <w:bCs/>
          <w:sz w:val="28"/>
          <w:szCs w:val="28"/>
          <w:lang w:val="es-MX"/>
        </w:rPr>
      </w:pPr>
    </w:p>
    <w:p w14:paraId="26E34C35" w14:textId="78EF455F" w:rsidR="00837CF9" w:rsidRDefault="00837CF9">
      <w:pPr>
        <w:rPr>
          <w:rFonts w:ascii="Arial" w:hAnsi="Arial" w:cs="Arial"/>
          <w:b/>
          <w:bCs/>
          <w:sz w:val="28"/>
          <w:szCs w:val="28"/>
          <w:lang w:val="es-MX"/>
        </w:rPr>
      </w:pPr>
    </w:p>
    <w:p w14:paraId="0E454F97" w14:textId="140B13EC" w:rsidR="00837CF9" w:rsidRDefault="00837CF9">
      <w:pPr>
        <w:rPr>
          <w:rFonts w:ascii="Arial" w:hAnsi="Arial" w:cs="Arial"/>
          <w:b/>
          <w:bCs/>
          <w:sz w:val="28"/>
          <w:szCs w:val="28"/>
          <w:lang w:val="es-MX"/>
        </w:rPr>
      </w:pPr>
    </w:p>
    <w:p w14:paraId="080803D4" w14:textId="36878D3F" w:rsidR="00837CF9" w:rsidRDefault="00837CF9">
      <w:pPr>
        <w:rPr>
          <w:rFonts w:ascii="Arial" w:hAnsi="Arial" w:cs="Arial"/>
          <w:b/>
          <w:bCs/>
          <w:sz w:val="28"/>
          <w:szCs w:val="28"/>
          <w:lang w:val="es-MX"/>
        </w:rPr>
      </w:pPr>
    </w:p>
    <w:p w14:paraId="74790EB8" w14:textId="00B0B3F2" w:rsidR="00837CF9" w:rsidRDefault="00837CF9" w:rsidP="00972EA5">
      <w:pPr>
        <w:spacing w:line="480" w:lineRule="auto"/>
        <w:jc w:val="center"/>
        <w:rPr>
          <w:rFonts w:ascii="Arial" w:hAnsi="Arial" w:cs="Arial"/>
          <w:b/>
          <w:bCs/>
          <w:sz w:val="28"/>
          <w:szCs w:val="28"/>
          <w:lang w:val="es-MX"/>
        </w:rPr>
      </w:pPr>
    </w:p>
    <w:p w14:paraId="7DDDFB5F" w14:textId="568425F0" w:rsidR="00837CF9" w:rsidRDefault="008830C0" w:rsidP="00972EA5">
      <w:pPr>
        <w:spacing w:line="480" w:lineRule="auto"/>
        <w:jc w:val="center"/>
        <w:rPr>
          <w:rFonts w:ascii="Arial" w:hAnsi="Arial" w:cs="Arial"/>
          <w:b/>
          <w:bCs/>
          <w:sz w:val="28"/>
          <w:szCs w:val="28"/>
          <w:lang w:val="es-MX"/>
        </w:rPr>
      </w:pPr>
      <w:r w:rsidRPr="008830C0">
        <w:rPr>
          <w:rFonts w:ascii="Arial" w:hAnsi="Arial" w:cs="Arial"/>
          <w:b/>
          <w:bCs/>
          <w:sz w:val="28"/>
          <w:szCs w:val="28"/>
        </w:rPr>
        <w:t xml:space="preserve">Diseño de un protocolo de </w:t>
      </w:r>
      <w:r w:rsidR="001E3629">
        <w:rPr>
          <w:rFonts w:ascii="Arial" w:hAnsi="Arial" w:cs="Arial"/>
          <w:b/>
          <w:bCs/>
          <w:sz w:val="28"/>
          <w:szCs w:val="28"/>
        </w:rPr>
        <w:t>Atención Farmacéutica</w:t>
      </w:r>
      <w:r w:rsidRPr="008830C0">
        <w:rPr>
          <w:rFonts w:ascii="Arial" w:hAnsi="Arial" w:cs="Arial"/>
          <w:b/>
          <w:bCs/>
          <w:sz w:val="28"/>
          <w:szCs w:val="28"/>
        </w:rPr>
        <w:t xml:space="preserve"> domiciliaria bajo el Modelo CMO para pacientes del Programa de Salud Cardiovascular del CESFAM Villa Nonguén</w:t>
      </w:r>
    </w:p>
    <w:p w14:paraId="1A020627" w14:textId="3983BD57" w:rsidR="00972EA5" w:rsidRPr="00972EA5" w:rsidRDefault="00972EA5" w:rsidP="00972EA5">
      <w:pPr>
        <w:spacing w:line="480" w:lineRule="auto"/>
        <w:jc w:val="center"/>
        <w:rPr>
          <w:rFonts w:ascii="Arial" w:hAnsi="Arial" w:cs="Arial"/>
          <w:b/>
          <w:bCs/>
          <w:sz w:val="24"/>
          <w:szCs w:val="24"/>
          <w:lang w:val="es-MX"/>
        </w:rPr>
      </w:pPr>
      <w:r>
        <w:rPr>
          <w:rFonts w:ascii="Arial" w:hAnsi="Arial" w:cs="Arial"/>
          <w:b/>
          <w:bCs/>
          <w:sz w:val="24"/>
          <w:szCs w:val="24"/>
          <w:lang w:val="es-MX"/>
        </w:rPr>
        <w:t xml:space="preserve">Memoria para optar al Título de </w:t>
      </w:r>
      <w:r w:rsidR="001E3629">
        <w:rPr>
          <w:rFonts w:ascii="Arial" w:hAnsi="Arial" w:cs="Arial"/>
          <w:b/>
          <w:bCs/>
          <w:sz w:val="24"/>
          <w:szCs w:val="24"/>
          <w:lang w:val="es-MX"/>
        </w:rPr>
        <w:t>Químico Farmacéutico</w:t>
      </w:r>
    </w:p>
    <w:p w14:paraId="2CF8A1F5" w14:textId="77777777" w:rsidR="00A050A4" w:rsidRDefault="00A050A4" w:rsidP="008E300D">
      <w:pPr>
        <w:spacing w:line="240" w:lineRule="auto"/>
        <w:jc w:val="center"/>
        <w:rPr>
          <w:rFonts w:ascii="Arial" w:hAnsi="Arial" w:cs="Arial"/>
          <w:b/>
          <w:bCs/>
          <w:sz w:val="24"/>
          <w:szCs w:val="24"/>
          <w:lang w:val="es-MX"/>
        </w:rPr>
      </w:pPr>
    </w:p>
    <w:p w14:paraId="5379D676" w14:textId="77777777" w:rsidR="00A050A4" w:rsidRDefault="00A050A4" w:rsidP="008E300D">
      <w:pPr>
        <w:spacing w:line="240" w:lineRule="auto"/>
        <w:jc w:val="center"/>
        <w:rPr>
          <w:rFonts w:ascii="Arial" w:hAnsi="Arial" w:cs="Arial"/>
          <w:b/>
          <w:bCs/>
          <w:sz w:val="24"/>
          <w:szCs w:val="24"/>
          <w:lang w:val="es-MX"/>
        </w:rPr>
      </w:pPr>
    </w:p>
    <w:p w14:paraId="2563FBF0" w14:textId="77777777" w:rsidR="00A050A4" w:rsidRDefault="00A050A4" w:rsidP="008E300D">
      <w:pPr>
        <w:spacing w:line="240" w:lineRule="auto"/>
        <w:jc w:val="center"/>
        <w:rPr>
          <w:rFonts w:ascii="Arial" w:hAnsi="Arial" w:cs="Arial"/>
          <w:b/>
          <w:bCs/>
          <w:sz w:val="24"/>
          <w:szCs w:val="24"/>
          <w:lang w:val="es-MX"/>
        </w:rPr>
      </w:pPr>
    </w:p>
    <w:p w14:paraId="26607A9D" w14:textId="77777777" w:rsidR="00A050A4" w:rsidRDefault="00A050A4" w:rsidP="008E300D">
      <w:pPr>
        <w:spacing w:line="240" w:lineRule="auto"/>
        <w:jc w:val="center"/>
        <w:rPr>
          <w:rFonts w:ascii="Arial" w:hAnsi="Arial" w:cs="Arial"/>
          <w:b/>
          <w:bCs/>
          <w:sz w:val="24"/>
          <w:szCs w:val="24"/>
          <w:lang w:val="es-MX"/>
        </w:rPr>
      </w:pPr>
    </w:p>
    <w:p w14:paraId="3A9A650C" w14:textId="77777777" w:rsidR="00A050A4" w:rsidRDefault="00A050A4" w:rsidP="00252822">
      <w:pPr>
        <w:spacing w:line="240" w:lineRule="auto"/>
        <w:jc w:val="right"/>
        <w:rPr>
          <w:rFonts w:ascii="Arial" w:hAnsi="Arial" w:cs="Arial"/>
          <w:b/>
          <w:bCs/>
          <w:sz w:val="24"/>
          <w:szCs w:val="24"/>
          <w:lang w:val="es-MX"/>
        </w:rPr>
      </w:pPr>
    </w:p>
    <w:p w14:paraId="73F8122D" w14:textId="77777777" w:rsidR="00A050A4" w:rsidRDefault="00A050A4" w:rsidP="00252822">
      <w:pPr>
        <w:spacing w:line="240" w:lineRule="auto"/>
        <w:jc w:val="right"/>
        <w:rPr>
          <w:rFonts w:ascii="Arial" w:hAnsi="Arial" w:cs="Arial"/>
          <w:b/>
          <w:bCs/>
          <w:sz w:val="24"/>
          <w:szCs w:val="24"/>
          <w:lang w:val="es-MX"/>
        </w:rPr>
      </w:pPr>
    </w:p>
    <w:p w14:paraId="7D02E40A" w14:textId="103A16C4" w:rsidR="00A050A4" w:rsidRDefault="3AB5FADB" w:rsidP="00252822">
      <w:pPr>
        <w:spacing w:line="240" w:lineRule="auto"/>
        <w:jc w:val="right"/>
        <w:rPr>
          <w:rFonts w:ascii="Arial" w:hAnsi="Arial" w:cs="Arial"/>
          <w:b/>
          <w:bCs/>
          <w:sz w:val="24"/>
          <w:szCs w:val="24"/>
          <w:lang w:val="es-MX"/>
        </w:rPr>
      </w:pPr>
      <w:r w:rsidRPr="10550309">
        <w:rPr>
          <w:rFonts w:ascii="Arial" w:hAnsi="Arial" w:cs="Arial"/>
          <w:b/>
          <w:bCs/>
          <w:sz w:val="24"/>
          <w:szCs w:val="24"/>
          <w:lang w:val="es-MX"/>
        </w:rPr>
        <w:t xml:space="preserve">Profesor Guía: </w:t>
      </w:r>
      <w:r w:rsidR="00E21B40" w:rsidRPr="00E21B40">
        <w:rPr>
          <w:rFonts w:ascii="Arial" w:hAnsi="Arial" w:cs="Arial"/>
          <w:b/>
          <w:bCs/>
          <w:sz w:val="24"/>
          <w:szCs w:val="24"/>
        </w:rPr>
        <w:t>Diego Ignacio Jorquera Pereira</w:t>
      </w:r>
    </w:p>
    <w:p w14:paraId="68B9C0CB" w14:textId="1F756493" w:rsidR="00972EA5" w:rsidRDefault="3AB5FADB" w:rsidP="7E8C999B">
      <w:pPr>
        <w:spacing w:line="240" w:lineRule="auto"/>
        <w:jc w:val="right"/>
        <w:rPr>
          <w:rFonts w:ascii="Arial" w:hAnsi="Arial" w:cs="Arial"/>
          <w:b/>
          <w:bCs/>
          <w:sz w:val="24"/>
          <w:szCs w:val="24"/>
          <w:lang w:val="es-MX"/>
        </w:rPr>
      </w:pPr>
      <w:r w:rsidRPr="10550309">
        <w:rPr>
          <w:rFonts w:ascii="Arial" w:hAnsi="Arial" w:cs="Arial"/>
          <w:b/>
          <w:bCs/>
          <w:sz w:val="24"/>
          <w:szCs w:val="24"/>
          <w:lang w:val="es-MX"/>
        </w:rPr>
        <w:t xml:space="preserve">Estudiante: </w:t>
      </w:r>
      <w:r w:rsidR="4B9EA4BA" w:rsidRPr="10550309">
        <w:rPr>
          <w:rFonts w:ascii="Arial" w:hAnsi="Arial" w:cs="Arial"/>
          <w:b/>
          <w:bCs/>
          <w:sz w:val="24"/>
          <w:szCs w:val="24"/>
        </w:rPr>
        <w:t>Bastián</w:t>
      </w:r>
      <w:r w:rsidR="0070228B">
        <w:rPr>
          <w:rFonts w:ascii="Arial" w:hAnsi="Arial" w:cs="Arial"/>
          <w:b/>
          <w:bCs/>
          <w:sz w:val="24"/>
          <w:szCs w:val="24"/>
        </w:rPr>
        <w:t xml:space="preserve"> Alonso</w:t>
      </w:r>
      <w:r w:rsidR="4B9EA4BA" w:rsidRPr="10550309">
        <w:rPr>
          <w:rFonts w:ascii="Arial" w:hAnsi="Arial" w:cs="Arial"/>
          <w:b/>
          <w:bCs/>
          <w:sz w:val="24"/>
          <w:szCs w:val="24"/>
        </w:rPr>
        <w:t xml:space="preserve"> Espinoza</w:t>
      </w:r>
      <w:r w:rsidR="0070228B">
        <w:rPr>
          <w:rFonts w:ascii="Arial" w:hAnsi="Arial" w:cs="Arial"/>
          <w:b/>
          <w:bCs/>
          <w:sz w:val="24"/>
          <w:szCs w:val="24"/>
        </w:rPr>
        <w:t xml:space="preserve"> </w:t>
      </w:r>
      <w:commentRangeStart w:id="0"/>
      <w:r w:rsidR="0070228B">
        <w:rPr>
          <w:rFonts w:ascii="Arial" w:hAnsi="Arial" w:cs="Arial"/>
          <w:b/>
          <w:bCs/>
          <w:sz w:val="24"/>
          <w:szCs w:val="24"/>
        </w:rPr>
        <w:t>Palma</w:t>
      </w:r>
      <w:commentRangeEnd w:id="0"/>
      <w:r w:rsidR="00562D96">
        <w:rPr>
          <w:rStyle w:val="Refdecomentario"/>
          <w:rFonts w:ascii="Arial" w:hAnsi="Arial" w:cs="Arial"/>
          <w:b/>
          <w:bCs/>
          <w:sz w:val="24"/>
          <w:szCs w:val="24"/>
          <w:lang w:val="es-MX"/>
        </w:rPr>
        <w:commentReference w:id="0"/>
      </w:r>
    </w:p>
    <w:p w14:paraId="17DD1EE2" w14:textId="77777777" w:rsidR="00252822" w:rsidRDefault="00252822" w:rsidP="00252822">
      <w:pPr>
        <w:spacing w:line="360" w:lineRule="auto"/>
        <w:jc w:val="right"/>
        <w:rPr>
          <w:rFonts w:ascii="Arial" w:hAnsi="Arial" w:cs="Arial"/>
          <w:b/>
          <w:bCs/>
          <w:sz w:val="24"/>
          <w:szCs w:val="24"/>
          <w:lang w:val="es-MX"/>
        </w:rPr>
      </w:pPr>
    </w:p>
    <w:p w14:paraId="442AC55B" w14:textId="77777777" w:rsidR="00252822" w:rsidRDefault="00252822" w:rsidP="00252822">
      <w:pPr>
        <w:spacing w:line="360" w:lineRule="auto"/>
        <w:jc w:val="right"/>
        <w:rPr>
          <w:rFonts w:ascii="Arial" w:hAnsi="Arial" w:cs="Arial"/>
          <w:b/>
          <w:bCs/>
          <w:sz w:val="24"/>
          <w:szCs w:val="24"/>
          <w:lang w:val="es-MX"/>
        </w:rPr>
      </w:pPr>
    </w:p>
    <w:p w14:paraId="1E60B7A2" w14:textId="77777777" w:rsidR="00252822" w:rsidRDefault="00252822" w:rsidP="00252822">
      <w:pPr>
        <w:spacing w:line="360" w:lineRule="auto"/>
        <w:jc w:val="center"/>
        <w:rPr>
          <w:rFonts w:ascii="Arial" w:hAnsi="Arial" w:cs="Arial"/>
          <w:b/>
          <w:bCs/>
          <w:sz w:val="24"/>
          <w:szCs w:val="24"/>
        </w:rPr>
      </w:pPr>
    </w:p>
    <w:p w14:paraId="3E362E9F" w14:textId="77777777" w:rsidR="00252822" w:rsidRDefault="00252822" w:rsidP="00252822">
      <w:pPr>
        <w:spacing w:line="360" w:lineRule="auto"/>
        <w:jc w:val="center"/>
        <w:rPr>
          <w:rFonts w:ascii="Arial" w:hAnsi="Arial" w:cs="Arial"/>
          <w:b/>
          <w:bCs/>
          <w:sz w:val="24"/>
          <w:szCs w:val="24"/>
        </w:rPr>
      </w:pPr>
    </w:p>
    <w:p w14:paraId="10C4FDBA" w14:textId="77777777" w:rsidR="00252822" w:rsidRDefault="00252822" w:rsidP="00252822">
      <w:pPr>
        <w:spacing w:line="360" w:lineRule="auto"/>
        <w:jc w:val="center"/>
        <w:rPr>
          <w:rFonts w:ascii="Arial" w:hAnsi="Arial" w:cs="Arial"/>
          <w:b/>
          <w:bCs/>
          <w:sz w:val="24"/>
          <w:szCs w:val="24"/>
        </w:rPr>
      </w:pPr>
    </w:p>
    <w:p w14:paraId="5DE049B3" w14:textId="77777777" w:rsidR="00252822" w:rsidRDefault="00252822" w:rsidP="00252822">
      <w:pPr>
        <w:spacing w:line="360" w:lineRule="auto"/>
        <w:jc w:val="center"/>
        <w:rPr>
          <w:rFonts w:ascii="Arial" w:hAnsi="Arial" w:cs="Arial"/>
          <w:b/>
          <w:bCs/>
          <w:sz w:val="24"/>
          <w:szCs w:val="24"/>
        </w:rPr>
      </w:pPr>
    </w:p>
    <w:p w14:paraId="1EE15A87" w14:textId="77777777" w:rsidR="00252822" w:rsidRDefault="00252822" w:rsidP="00252822">
      <w:pPr>
        <w:spacing w:line="360" w:lineRule="auto"/>
        <w:jc w:val="center"/>
        <w:rPr>
          <w:rFonts w:ascii="Arial" w:hAnsi="Arial" w:cs="Arial"/>
          <w:b/>
          <w:bCs/>
          <w:sz w:val="24"/>
          <w:szCs w:val="24"/>
        </w:rPr>
      </w:pPr>
    </w:p>
    <w:p w14:paraId="21BAFE3A" w14:textId="77777777" w:rsidR="00252822" w:rsidRDefault="00252822" w:rsidP="00252822">
      <w:pPr>
        <w:spacing w:line="360" w:lineRule="auto"/>
        <w:jc w:val="center"/>
        <w:rPr>
          <w:rFonts w:ascii="Arial" w:hAnsi="Arial" w:cs="Arial"/>
          <w:b/>
          <w:bCs/>
          <w:sz w:val="24"/>
          <w:szCs w:val="24"/>
        </w:rPr>
      </w:pPr>
    </w:p>
    <w:p w14:paraId="2E85FB73" w14:textId="77777777" w:rsidR="00252822" w:rsidRDefault="00252822" w:rsidP="00252822">
      <w:pPr>
        <w:spacing w:line="360" w:lineRule="auto"/>
        <w:jc w:val="center"/>
        <w:rPr>
          <w:rFonts w:ascii="Arial" w:hAnsi="Arial" w:cs="Arial"/>
          <w:b/>
          <w:bCs/>
          <w:sz w:val="24"/>
          <w:szCs w:val="24"/>
        </w:rPr>
      </w:pPr>
    </w:p>
    <w:p w14:paraId="2024B06E" w14:textId="77777777" w:rsidR="00252822" w:rsidRDefault="00252822" w:rsidP="00252822">
      <w:pPr>
        <w:spacing w:line="360" w:lineRule="auto"/>
        <w:jc w:val="center"/>
        <w:rPr>
          <w:rFonts w:ascii="Arial" w:hAnsi="Arial" w:cs="Arial"/>
          <w:b/>
          <w:bCs/>
          <w:sz w:val="24"/>
          <w:szCs w:val="24"/>
        </w:rPr>
      </w:pPr>
    </w:p>
    <w:p w14:paraId="6E94E4A8" w14:textId="77777777" w:rsidR="00252822" w:rsidRDefault="00252822" w:rsidP="00252822">
      <w:pPr>
        <w:spacing w:line="360" w:lineRule="auto"/>
        <w:jc w:val="center"/>
        <w:rPr>
          <w:rFonts w:ascii="Arial" w:hAnsi="Arial" w:cs="Arial"/>
          <w:b/>
          <w:bCs/>
          <w:sz w:val="24"/>
          <w:szCs w:val="24"/>
        </w:rPr>
      </w:pPr>
    </w:p>
    <w:p w14:paraId="75CD09A1" w14:textId="77777777" w:rsidR="00252822" w:rsidRDefault="00252822" w:rsidP="00252822">
      <w:pPr>
        <w:spacing w:line="360" w:lineRule="auto"/>
        <w:jc w:val="center"/>
        <w:rPr>
          <w:rFonts w:ascii="Arial" w:hAnsi="Arial" w:cs="Arial"/>
          <w:b/>
          <w:bCs/>
          <w:sz w:val="24"/>
          <w:szCs w:val="24"/>
        </w:rPr>
      </w:pPr>
    </w:p>
    <w:p w14:paraId="0F472627" w14:textId="77777777" w:rsidR="00252822" w:rsidRDefault="00252822" w:rsidP="00252822">
      <w:pPr>
        <w:spacing w:line="360" w:lineRule="auto"/>
        <w:jc w:val="center"/>
        <w:rPr>
          <w:rFonts w:ascii="Arial" w:hAnsi="Arial" w:cs="Arial"/>
          <w:b/>
          <w:bCs/>
          <w:sz w:val="24"/>
          <w:szCs w:val="24"/>
        </w:rPr>
      </w:pPr>
    </w:p>
    <w:p w14:paraId="10BF8881" w14:textId="77777777" w:rsidR="00252822" w:rsidRDefault="00252822" w:rsidP="00252822">
      <w:pPr>
        <w:spacing w:line="360" w:lineRule="auto"/>
        <w:jc w:val="center"/>
        <w:rPr>
          <w:rFonts w:ascii="Arial" w:hAnsi="Arial" w:cs="Arial"/>
          <w:b/>
          <w:bCs/>
          <w:sz w:val="24"/>
          <w:szCs w:val="24"/>
        </w:rPr>
      </w:pPr>
    </w:p>
    <w:p w14:paraId="3FD2C774" w14:textId="77777777" w:rsidR="00252822" w:rsidRDefault="00252822" w:rsidP="00252822">
      <w:pPr>
        <w:spacing w:line="360" w:lineRule="auto"/>
        <w:jc w:val="center"/>
        <w:rPr>
          <w:rFonts w:ascii="Arial" w:hAnsi="Arial" w:cs="Arial"/>
          <w:b/>
          <w:bCs/>
          <w:sz w:val="24"/>
          <w:szCs w:val="24"/>
        </w:rPr>
      </w:pPr>
    </w:p>
    <w:p w14:paraId="25AF2D78" w14:textId="77777777" w:rsidR="00252822" w:rsidRDefault="00252822" w:rsidP="00252822">
      <w:pPr>
        <w:spacing w:line="360" w:lineRule="auto"/>
        <w:jc w:val="center"/>
        <w:rPr>
          <w:rFonts w:ascii="Arial" w:hAnsi="Arial" w:cs="Arial"/>
          <w:b/>
          <w:bCs/>
          <w:sz w:val="24"/>
          <w:szCs w:val="24"/>
        </w:rPr>
      </w:pPr>
    </w:p>
    <w:p w14:paraId="02203EA3" w14:textId="77777777" w:rsidR="00252822" w:rsidRDefault="00252822" w:rsidP="00252822">
      <w:pPr>
        <w:spacing w:line="360" w:lineRule="auto"/>
        <w:jc w:val="center"/>
        <w:rPr>
          <w:rFonts w:ascii="Arial" w:hAnsi="Arial" w:cs="Arial"/>
          <w:b/>
          <w:bCs/>
          <w:sz w:val="24"/>
          <w:szCs w:val="24"/>
        </w:rPr>
      </w:pPr>
    </w:p>
    <w:p w14:paraId="33CE593F" w14:textId="77777777" w:rsidR="00252822" w:rsidRDefault="00252822" w:rsidP="00252822">
      <w:pPr>
        <w:spacing w:line="360" w:lineRule="auto"/>
        <w:jc w:val="center"/>
        <w:rPr>
          <w:rFonts w:ascii="Arial" w:hAnsi="Arial" w:cs="Arial"/>
          <w:b/>
          <w:bCs/>
          <w:sz w:val="24"/>
          <w:szCs w:val="24"/>
        </w:rPr>
      </w:pPr>
    </w:p>
    <w:p w14:paraId="2AA08F25" w14:textId="77777777" w:rsidR="00252822" w:rsidRDefault="00252822" w:rsidP="00252822">
      <w:pPr>
        <w:spacing w:line="360" w:lineRule="auto"/>
        <w:jc w:val="center"/>
        <w:rPr>
          <w:rFonts w:ascii="Arial" w:hAnsi="Arial" w:cs="Arial"/>
          <w:b/>
          <w:bCs/>
          <w:sz w:val="24"/>
          <w:szCs w:val="24"/>
        </w:rPr>
      </w:pPr>
    </w:p>
    <w:p w14:paraId="7AD22F83" w14:textId="77777777" w:rsidR="00252822" w:rsidRDefault="00252822" w:rsidP="00252822">
      <w:pPr>
        <w:spacing w:line="360" w:lineRule="auto"/>
        <w:jc w:val="center"/>
        <w:rPr>
          <w:rFonts w:ascii="Arial" w:hAnsi="Arial" w:cs="Arial"/>
          <w:b/>
          <w:bCs/>
          <w:sz w:val="24"/>
          <w:szCs w:val="24"/>
        </w:rPr>
      </w:pPr>
    </w:p>
    <w:p w14:paraId="134315C7" w14:textId="21B2C693" w:rsidR="00252822" w:rsidRDefault="2C962A31" w:rsidP="00252822">
      <w:pPr>
        <w:spacing w:line="240" w:lineRule="auto"/>
        <w:jc w:val="both"/>
        <w:rPr>
          <w:rFonts w:ascii="Arial" w:hAnsi="Arial" w:cs="Arial"/>
          <w:b/>
          <w:bCs/>
          <w:sz w:val="24"/>
          <w:szCs w:val="24"/>
          <w:lang w:val="es-MX"/>
        </w:rPr>
      </w:pPr>
      <w:r w:rsidRPr="10550309">
        <w:rPr>
          <w:rFonts w:ascii="Arial" w:hAnsi="Arial" w:cs="Arial"/>
          <w:b/>
          <w:bCs/>
          <w:sz w:val="24"/>
          <w:szCs w:val="24"/>
        </w:rPr>
        <w:t xml:space="preserve">© </w:t>
      </w:r>
      <w:r w:rsidR="5A945621" w:rsidRPr="10550309">
        <w:rPr>
          <w:rFonts w:ascii="Arial" w:hAnsi="Arial" w:cs="Arial"/>
          <w:b/>
          <w:bCs/>
          <w:sz w:val="24"/>
          <w:szCs w:val="24"/>
        </w:rPr>
        <w:t xml:space="preserve">Bastián </w:t>
      </w:r>
      <w:r w:rsidR="0070228B">
        <w:rPr>
          <w:rFonts w:ascii="Arial" w:hAnsi="Arial" w:cs="Arial"/>
          <w:b/>
          <w:bCs/>
          <w:sz w:val="24"/>
          <w:szCs w:val="24"/>
        </w:rPr>
        <w:t xml:space="preserve">Alonso </w:t>
      </w:r>
      <w:r w:rsidR="5A945621" w:rsidRPr="10550309">
        <w:rPr>
          <w:rFonts w:ascii="Arial" w:hAnsi="Arial" w:cs="Arial"/>
          <w:b/>
          <w:bCs/>
          <w:sz w:val="24"/>
          <w:szCs w:val="24"/>
        </w:rPr>
        <w:t>Espinoza</w:t>
      </w:r>
      <w:r w:rsidR="0070228B">
        <w:rPr>
          <w:rFonts w:ascii="Arial" w:hAnsi="Arial" w:cs="Arial"/>
          <w:b/>
          <w:bCs/>
          <w:sz w:val="24"/>
          <w:szCs w:val="24"/>
        </w:rPr>
        <w:t xml:space="preserve"> Palma</w:t>
      </w:r>
      <w:r w:rsidRPr="10550309">
        <w:rPr>
          <w:rFonts w:ascii="Arial" w:hAnsi="Arial" w:cs="Arial"/>
          <w:b/>
          <w:bCs/>
          <w:sz w:val="24"/>
          <w:szCs w:val="24"/>
        </w:rPr>
        <w:t>. Se autoriza la reproducción parcial o total de esta obra con fines académicos, por cualquier forma, medio o procedimiento, siempre y cuando se incluya la cita bibliográfica del documento.</w:t>
      </w:r>
    </w:p>
    <w:p w14:paraId="1CBFEFA9" w14:textId="06ECF16F" w:rsidR="00252822" w:rsidRDefault="00252822" w:rsidP="00252822">
      <w:pPr>
        <w:spacing w:line="360" w:lineRule="auto"/>
        <w:jc w:val="center"/>
        <w:rPr>
          <w:rFonts w:ascii="Arial" w:hAnsi="Arial" w:cs="Arial"/>
          <w:b/>
          <w:bCs/>
          <w:sz w:val="24"/>
          <w:szCs w:val="24"/>
          <w:lang w:val="es-MX"/>
        </w:rPr>
      </w:pPr>
      <w:r>
        <w:rPr>
          <w:rFonts w:ascii="Arial" w:hAnsi="Arial" w:cs="Arial"/>
          <w:b/>
          <w:bCs/>
          <w:sz w:val="24"/>
          <w:szCs w:val="24"/>
          <w:lang w:val="es-MX"/>
        </w:rPr>
        <w:t>Concepción, Chile</w:t>
      </w:r>
    </w:p>
    <w:p w14:paraId="54983C31" w14:textId="0EB7E873" w:rsidR="00252822" w:rsidRPr="00252822" w:rsidRDefault="2C962A31" w:rsidP="10550309">
      <w:pPr>
        <w:spacing w:line="360" w:lineRule="auto"/>
        <w:jc w:val="center"/>
        <w:rPr>
          <w:rFonts w:ascii="Arial" w:hAnsi="Arial" w:cs="Arial"/>
          <w:b/>
          <w:bCs/>
          <w:sz w:val="24"/>
          <w:szCs w:val="24"/>
          <w:lang w:val="es-MX"/>
        </w:rPr>
      </w:pPr>
      <w:r w:rsidRPr="10550309">
        <w:rPr>
          <w:rFonts w:ascii="Arial" w:hAnsi="Arial" w:cs="Arial"/>
          <w:b/>
          <w:bCs/>
          <w:sz w:val="24"/>
          <w:szCs w:val="24"/>
          <w:lang w:val="es-MX"/>
        </w:rPr>
        <w:t>2026</w:t>
      </w:r>
    </w:p>
    <w:p w14:paraId="7922607D" w14:textId="14D09B9F" w:rsidR="00252822" w:rsidRPr="00252822" w:rsidRDefault="00252822" w:rsidP="44CA78B6">
      <w:pPr>
        <w:spacing w:line="360" w:lineRule="auto"/>
      </w:pPr>
      <w:r>
        <w:br w:type="page"/>
      </w:r>
    </w:p>
    <w:p w14:paraId="1079AF6B" w14:textId="5A3CA6F8" w:rsidR="00252822" w:rsidRPr="00252822" w:rsidRDefault="00252822" w:rsidP="44CA78B6">
      <w:pPr>
        <w:spacing w:line="360" w:lineRule="auto"/>
        <w:jc w:val="both"/>
        <w:rPr>
          <w:rFonts w:ascii="Arial" w:hAnsi="Arial" w:cs="Arial"/>
          <w:b/>
          <w:bCs/>
          <w:sz w:val="24"/>
          <w:szCs w:val="24"/>
          <w:lang w:val="es-MX"/>
        </w:rPr>
      </w:pPr>
      <w:r w:rsidRPr="44CA78B6">
        <w:rPr>
          <w:rFonts w:ascii="Arial" w:hAnsi="Arial" w:cs="Arial"/>
          <w:b/>
          <w:bCs/>
          <w:sz w:val="24"/>
          <w:szCs w:val="24"/>
          <w:lang w:val="es-MX"/>
        </w:rPr>
        <w:lastRenderedPageBreak/>
        <w:t xml:space="preserve">HOJA DE </w:t>
      </w:r>
      <w:commentRangeStart w:id="1"/>
      <w:r w:rsidRPr="44CA78B6">
        <w:rPr>
          <w:rFonts w:ascii="Arial" w:hAnsi="Arial" w:cs="Arial"/>
          <w:b/>
          <w:bCs/>
          <w:sz w:val="24"/>
          <w:szCs w:val="24"/>
          <w:lang w:val="es-MX"/>
        </w:rPr>
        <w:t>CALIFICACIÓN</w:t>
      </w:r>
      <w:commentRangeEnd w:id="1"/>
      <w:r w:rsidR="00562D96" w:rsidRPr="00252822">
        <w:rPr>
          <w:rStyle w:val="Refdecomentario"/>
          <w:rFonts w:ascii="Arial" w:hAnsi="Arial" w:cs="Arial"/>
          <w:b/>
          <w:bCs/>
          <w:sz w:val="24"/>
          <w:szCs w:val="24"/>
          <w:lang w:val="es-MX"/>
        </w:rPr>
        <w:commentReference w:id="1"/>
      </w:r>
    </w:p>
    <w:p w14:paraId="274B600F"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En _______________________el____de________de____los abajo firmantes dejan</w:t>
      </w:r>
    </w:p>
    <w:p w14:paraId="11B0DE2B"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constancia que el (la) estudiante_________________________________________ de la</w:t>
      </w:r>
    </w:p>
    <w:p w14:paraId="4947CC5F"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carrera de _____________________________________ha aprobado la tesis para optar al</w:t>
      </w:r>
    </w:p>
    <w:p w14:paraId="31589761" w14:textId="76189DFF" w:rsid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título de ____________________________________________________________________con</w:t>
      </w:r>
      <w:r>
        <w:rPr>
          <w:rFonts w:ascii="Arial" w:hAnsi="Arial" w:cs="Arial"/>
          <w:b/>
          <w:bCs/>
          <w:sz w:val="24"/>
          <w:szCs w:val="24"/>
          <w:lang w:val="es-MX"/>
        </w:rPr>
        <w:t xml:space="preserve"> </w:t>
      </w:r>
      <w:r w:rsidRPr="00252822">
        <w:rPr>
          <w:rFonts w:ascii="Arial" w:hAnsi="Arial" w:cs="Arial"/>
          <w:b/>
          <w:bCs/>
          <w:sz w:val="24"/>
          <w:szCs w:val="24"/>
          <w:lang w:val="es-MX"/>
        </w:rPr>
        <w:t>una nota de_______________</w:t>
      </w:r>
    </w:p>
    <w:p w14:paraId="3A23C777" w14:textId="77777777" w:rsidR="00252822" w:rsidRDefault="00252822" w:rsidP="00252822">
      <w:pPr>
        <w:spacing w:line="360" w:lineRule="auto"/>
        <w:jc w:val="both"/>
        <w:rPr>
          <w:rFonts w:ascii="Arial" w:hAnsi="Arial" w:cs="Arial"/>
          <w:b/>
          <w:bCs/>
          <w:sz w:val="24"/>
          <w:szCs w:val="24"/>
          <w:lang w:val="es-MX"/>
        </w:rPr>
      </w:pPr>
    </w:p>
    <w:p w14:paraId="09D8913E" w14:textId="77777777" w:rsidR="00252822" w:rsidRDefault="00252822" w:rsidP="00252822">
      <w:pPr>
        <w:spacing w:line="360" w:lineRule="auto"/>
        <w:jc w:val="both"/>
        <w:rPr>
          <w:rFonts w:ascii="Arial" w:hAnsi="Arial" w:cs="Arial"/>
          <w:b/>
          <w:bCs/>
          <w:sz w:val="24"/>
          <w:szCs w:val="24"/>
          <w:lang w:val="es-MX"/>
        </w:rPr>
      </w:pPr>
    </w:p>
    <w:p w14:paraId="055BB394" w14:textId="77777777" w:rsidR="00252822" w:rsidRDefault="00252822" w:rsidP="00252822">
      <w:pPr>
        <w:spacing w:line="360" w:lineRule="auto"/>
        <w:jc w:val="both"/>
        <w:rPr>
          <w:rFonts w:ascii="Arial" w:hAnsi="Arial" w:cs="Arial"/>
          <w:b/>
          <w:bCs/>
          <w:sz w:val="24"/>
          <w:szCs w:val="24"/>
          <w:lang w:val="es-MX"/>
        </w:rPr>
      </w:pPr>
    </w:p>
    <w:p w14:paraId="1CAC4803" w14:textId="77777777" w:rsidR="00252822" w:rsidRDefault="00252822" w:rsidP="00252822">
      <w:pPr>
        <w:spacing w:line="360" w:lineRule="auto"/>
        <w:jc w:val="both"/>
        <w:rPr>
          <w:rFonts w:ascii="Arial" w:hAnsi="Arial" w:cs="Arial"/>
          <w:b/>
          <w:bCs/>
          <w:sz w:val="24"/>
          <w:szCs w:val="24"/>
          <w:lang w:val="es-MX"/>
        </w:rPr>
      </w:pPr>
    </w:p>
    <w:p w14:paraId="532A121C" w14:textId="77777777" w:rsidR="00252822" w:rsidRDefault="00252822" w:rsidP="00252822">
      <w:pPr>
        <w:spacing w:line="360" w:lineRule="auto"/>
        <w:jc w:val="both"/>
        <w:rPr>
          <w:rFonts w:ascii="Arial" w:hAnsi="Arial" w:cs="Arial"/>
          <w:b/>
          <w:bCs/>
          <w:sz w:val="24"/>
          <w:szCs w:val="24"/>
          <w:lang w:val="es-MX"/>
        </w:rPr>
      </w:pPr>
    </w:p>
    <w:p w14:paraId="44BBA958" w14:textId="77777777" w:rsidR="00252822" w:rsidRDefault="00252822" w:rsidP="00252822">
      <w:pPr>
        <w:spacing w:line="360" w:lineRule="auto"/>
        <w:jc w:val="both"/>
        <w:rPr>
          <w:rFonts w:ascii="Arial" w:hAnsi="Arial" w:cs="Arial"/>
          <w:b/>
          <w:bCs/>
          <w:sz w:val="24"/>
          <w:szCs w:val="24"/>
          <w:lang w:val="es-MX"/>
        </w:rPr>
      </w:pPr>
    </w:p>
    <w:p w14:paraId="1843103A" w14:textId="77777777" w:rsidR="00252822" w:rsidRDefault="00252822" w:rsidP="00252822">
      <w:pPr>
        <w:spacing w:line="360" w:lineRule="auto"/>
        <w:jc w:val="both"/>
        <w:rPr>
          <w:rFonts w:ascii="Arial" w:hAnsi="Arial" w:cs="Arial"/>
          <w:b/>
          <w:bCs/>
          <w:sz w:val="24"/>
          <w:szCs w:val="24"/>
          <w:lang w:val="es-MX"/>
        </w:rPr>
      </w:pPr>
    </w:p>
    <w:p w14:paraId="3CD09997"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_________________</w:t>
      </w:r>
    </w:p>
    <w:p w14:paraId="29A0FBB1"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1FE473DE"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_________________</w:t>
      </w:r>
    </w:p>
    <w:p w14:paraId="1A3DD8D4"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51B3F3F0" w14:textId="77777777" w:rsidR="00252822" w:rsidRPr="00252822" w:rsidRDefault="00252822" w:rsidP="00252822">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_________________</w:t>
      </w:r>
    </w:p>
    <w:p w14:paraId="1FF05A08" w14:textId="42FEB5ED" w:rsidR="00444720" w:rsidRDefault="00252822" w:rsidP="00293C41">
      <w:pPr>
        <w:spacing w:line="360" w:lineRule="auto"/>
        <w:jc w:val="both"/>
        <w:rPr>
          <w:rFonts w:ascii="Arial" w:hAnsi="Arial" w:cs="Arial"/>
          <w:b/>
          <w:bCs/>
          <w:sz w:val="24"/>
          <w:szCs w:val="24"/>
          <w:lang w:val="es-MX"/>
        </w:rPr>
      </w:pPr>
      <w:r w:rsidRPr="00252822">
        <w:rPr>
          <w:rFonts w:ascii="Arial" w:hAnsi="Arial" w:cs="Arial"/>
          <w:b/>
          <w:bCs/>
          <w:sz w:val="24"/>
          <w:szCs w:val="24"/>
          <w:lang w:val="es-MX"/>
        </w:rPr>
        <w:t xml:space="preserve"> Profesor Evaluador</w:t>
      </w:r>
    </w:p>
    <w:p w14:paraId="5B1B4BE5" w14:textId="715EB686" w:rsidR="00293C41" w:rsidRPr="00CF668B" w:rsidRDefault="00293C41" w:rsidP="7E8C999B">
      <w:pPr>
        <w:spacing w:line="360" w:lineRule="auto"/>
        <w:jc w:val="center"/>
        <w:rPr>
          <w:rFonts w:ascii="Arial" w:hAnsi="Arial" w:cs="Arial"/>
          <w:b/>
          <w:bCs/>
          <w:sz w:val="24"/>
          <w:szCs w:val="24"/>
          <w:lang w:val="es-MX"/>
        </w:rPr>
      </w:pPr>
    </w:p>
    <w:p w14:paraId="47CDE9A3" w14:textId="373A93D4" w:rsidR="00293C41" w:rsidRPr="00436989" w:rsidRDefault="00A050A4" w:rsidP="00436989">
      <w:pPr>
        <w:spacing w:line="360" w:lineRule="auto"/>
      </w:pPr>
      <w:r>
        <w:br w:type="page"/>
      </w:r>
      <w:r w:rsidR="41BB7104" w:rsidRPr="10550309">
        <w:rPr>
          <w:rFonts w:ascii="Arial" w:hAnsi="Arial" w:cs="Arial"/>
          <w:b/>
          <w:bCs/>
          <w:sz w:val="24"/>
          <w:szCs w:val="24"/>
          <w:lang w:val="es-MX"/>
        </w:rPr>
        <w:lastRenderedPageBreak/>
        <w:t xml:space="preserve">TABLA DE </w:t>
      </w:r>
      <w:commentRangeStart w:id="2"/>
      <w:r w:rsidR="41BB7104" w:rsidRPr="10550309">
        <w:rPr>
          <w:rFonts w:ascii="Arial" w:hAnsi="Arial" w:cs="Arial"/>
          <w:b/>
          <w:bCs/>
          <w:sz w:val="24"/>
          <w:szCs w:val="24"/>
          <w:lang w:val="es-MX"/>
        </w:rPr>
        <w:t>CONTENIDOS</w:t>
      </w:r>
      <w:commentRangeEnd w:id="2"/>
      <w:r w:rsidR="00562D96" w:rsidRPr="00436989">
        <w:rPr>
          <w:rStyle w:val="Refdecomentario"/>
          <w:sz w:val="24"/>
          <w:szCs w:val="24"/>
        </w:rPr>
        <w:commentReference w:id="2"/>
      </w:r>
    </w:p>
    <w:sdt>
      <w:sdtPr>
        <w:rPr>
          <w:rFonts w:eastAsiaTheme="minorHAnsi" w:cstheme="minorBidi"/>
          <w:lang w:eastAsia="en-US"/>
        </w:rPr>
        <w:id w:val="762696901"/>
        <w:docPartObj>
          <w:docPartGallery w:val="Table of Contents"/>
          <w:docPartUnique/>
        </w:docPartObj>
      </w:sdtPr>
      <w:sdtEndPr/>
      <w:sdtContent>
        <w:p w14:paraId="0C974FD0" w14:textId="6EB041D5" w:rsidR="008163BE" w:rsidRDefault="10550309">
          <w:pPr>
            <w:pStyle w:val="TDC1"/>
            <w:rPr>
              <w:rFonts w:cstheme="minorBidi"/>
              <w:noProof/>
              <w:kern w:val="2"/>
              <w:sz w:val="24"/>
              <w:szCs w:val="24"/>
              <w14:ligatures w14:val="standardContextual"/>
            </w:rPr>
          </w:pPr>
          <w:r>
            <w:fldChar w:fldCharType="begin"/>
          </w:r>
          <w:r>
            <w:instrText>TOC \o "1-9" \z \u \h</w:instrText>
          </w:r>
          <w:r>
            <w:fldChar w:fldCharType="separate"/>
          </w:r>
          <w:hyperlink w:anchor="_Toc234959463" w:history="1">
            <w:r w:rsidR="008163BE" w:rsidRPr="00E80F65">
              <w:rPr>
                <w:rStyle w:val="Hipervnculo"/>
                <w:noProof/>
              </w:rPr>
              <w:t>Capítulo I: Antecedentes y Marco Teórico</w:t>
            </w:r>
            <w:r w:rsidR="008163BE">
              <w:rPr>
                <w:noProof/>
                <w:webHidden/>
              </w:rPr>
              <w:tab/>
            </w:r>
            <w:r w:rsidR="008163BE">
              <w:rPr>
                <w:noProof/>
                <w:webHidden/>
              </w:rPr>
              <w:fldChar w:fldCharType="begin"/>
            </w:r>
            <w:r w:rsidR="008163BE">
              <w:rPr>
                <w:noProof/>
                <w:webHidden/>
              </w:rPr>
              <w:instrText xml:space="preserve"> PAGEREF _Toc234959463 \h </w:instrText>
            </w:r>
            <w:r w:rsidR="008163BE">
              <w:rPr>
                <w:noProof/>
                <w:webHidden/>
              </w:rPr>
            </w:r>
            <w:r w:rsidR="008163BE">
              <w:rPr>
                <w:noProof/>
                <w:webHidden/>
              </w:rPr>
              <w:fldChar w:fldCharType="separate"/>
            </w:r>
            <w:r w:rsidR="008163BE">
              <w:rPr>
                <w:noProof/>
                <w:webHidden/>
              </w:rPr>
              <w:t>1</w:t>
            </w:r>
            <w:r w:rsidR="008163BE">
              <w:rPr>
                <w:noProof/>
                <w:webHidden/>
              </w:rPr>
              <w:fldChar w:fldCharType="end"/>
            </w:r>
          </w:hyperlink>
        </w:p>
        <w:p w14:paraId="23DD97CF" w14:textId="4D6AC314" w:rsidR="008163BE" w:rsidRDefault="008163BE">
          <w:pPr>
            <w:pStyle w:val="TDC2"/>
            <w:tabs>
              <w:tab w:val="left" w:pos="960"/>
              <w:tab w:val="right" w:leader="dot" w:pos="8544"/>
            </w:tabs>
            <w:rPr>
              <w:rFonts w:cstheme="minorBidi"/>
              <w:noProof/>
              <w:kern w:val="2"/>
              <w:sz w:val="24"/>
              <w:szCs w:val="24"/>
              <w14:ligatures w14:val="standardContextual"/>
            </w:rPr>
          </w:pPr>
          <w:hyperlink w:anchor="_Toc234959464" w:history="1">
            <w:r w:rsidRPr="00E80F65">
              <w:rPr>
                <w:rStyle w:val="Hipervnculo"/>
                <w:noProof/>
              </w:rPr>
              <w:t>1.1</w:t>
            </w:r>
            <w:r>
              <w:rPr>
                <w:rFonts w:cstheme="minorBidi"/>
                <w:noProof/>
                <w:kern w:val="2"/>
                <w:sz w:val="24"/>
                <w:szCs w:val="24"/>
                <w14:ligatures w14:val="standardContextual"/>
              </w:rPr>
              <w:t xml:space="preserve"> </w:t>
            </w:r>
            <w:r w:rsidRPr="00E80F65">
              <w:rPr>
                <w:rStyle w:val="Hipervnculo"/>
                <w:noProof/>
              </w:rPr>
              <w:t>Objeto de la Investigación</w:t>
            </w:r>
            <w:r>
              <w:rPr>
                <w:noProof/>
                <w:webHidden/>
              </w:rPr>
              <w:tab/>
            </w:r>
            <w:r>
              <w:rPr>
                <w:noProof/>
                <w:webHidden/>
              </w:rPr>
              <w:fldChar w:fldCharType="begin"/>
            </w:r>
            <w:r>
              <w:rPr>
                <w:noProof/>
                <w:webHidden/>
              </w:rPr>
              <w:instrText xml:space="preserve"> PAGEREF _Toc234959464 \h </w:instrText>
            </w:r>
            <w:r>
              <w:rPr>
                <w:noProof/>
                <w:webHidden/>
              </w:rPr>
            </w:r>
            <w:r>
              <w:rPr>
                <w:noProof/>
                <w:webHidden/>
              </w:rPr>
              <w:fldChar w:fldCharType="separate"/>
            </w:r>
            <w:r>
              <w:rPr>
                <w:noProof/>
                <w:webHidden/>
              </w:rPr>
              <w:t>1</w:t>
            </w:r>
            <w:r>
              <w:rPr>
                <w:noProof/>
                <w:webHidden/>
              </w:rPr>
              <w:fldChar w:fldCharType="end"/>
            </w:r>
          </w:hyperlink>
        </w:p>
        <w:p w14:paraId="0715B15A" w14:textId="6C69F2C5" w:rsidR="008163BE" w:rsidRDefault="008163BE">
          <w:pPr>
            <w:pStyle w:val="TDC2"/>
            <w:tabs>
              <w:tab w:val="right" w:leader="dot" w:pos="8544"/>
            </w:tabs>
            <w:rPr>
              <w:rFonts w:cstheme="minorBidi"/>
              <w:noProof/>
              <w:kern w:val="2"/>
              <w:sz w:val="24"/>
              <w:szCs w:val="24"/>
              <w14:ligatures w14:val="standardContextual"/>
            </w:rPr>
          </w:pPr>
          <w:hyperlink w:anchor="_Toc234959465" w:history="1">
            <w:r w:rsidRPr="00E80F65">
              <w:rPr>
                <w:rStyle w:val="Hipervnculo"/>
                <w:noProof/>
              </w:rPr>
              <w:t>1.2 Importancia Clínica y Sanitaria</w:t>
            </w:r>
            <w:r>
              <w:rPr>
                <w:noProof/>
                <w:webHidden/>
              </w:rPr>
              <w:tab/>
            </w:r>
            <w:r>
              <w:rPr>
                <w:noProof/>
                <w:webHidden/>
              </w:rPr>
              <w:fldChar w:fldCharType="begin"/>
            </w:r>
            <w:r>
              <w:rPr>
                <w:noProof/>
                <w:webHidden/>
              </w:rPr>
              <w:instrText xml:space="preserve"> PAGEREF _Toc234959465 \h </w:instrText>
            </w:r>
            <w:r>
              <w:rPr>
                <w:noProof/>
                <w:webHidden/>
              </w:rPr>
            </w:r>
            <w:r>
              <w:rPr>
                <w:noProof/>
                <w:webHidden/>
              </w:rPr>
              <w:fldChar w:fldCharType="separate"/>
            </w:r>
            <w:r>
              <w:rPr>
                <w:noProof/>
                <w:webHidden/>
              </w:rPr>
              <w:t>2</w:t>
            </w:r>
            <w:r>
              <w:rPr>
                <w:noProof/>
                <w:webHidden/>
              </w:rPr>
              <w:fldChar w:fldCharType="end"/>
            </w:r>
          </w:hyperlink>
        </w:p>
        <w:p w14:paraId="6641724E" w14:textId="2A009AAF" w:rsidR="008163BE" w:rsidRDefault="008163BE">
          <w:pPr>
            <w:pStyle w:val="TDC2"/>
            <w:tabs>
              <w:tab w:val="right" w:leader="dot" w:pos="8544"/>
            </w:tabs>
            <w:rPr>
              <w:rFonts w:cstheme="minorBidi"/>
              <w:noProof/>
              <w:kern w:val="2"/>
              <w:sz w:val="24"/>
              <w:szCs w:val="24"/>
              <w14:ligatures w14:val="standardContextual"/>
            </w:rPr>
          </w:pPr>
          <w:hyperlink w:anchor="_Toc234959466" w:history="1">
            <w:r w:rsidRPr="00E80F65">
              <w:rPr>
                <w:rStyle w:val="Hipervnculo"/>
                <w:noProof/>
              </w:rPr>
              <w:t>1.3 Estado del arte y evolución hacia el Modelo CMO</w:t>
            </w:r>
            <w:r>
              <w:rPr>
                <w:noProof/>
                <w:webHidden/>
              </w:rPr>
              <w:tab/>
            </w:r>
            <w:r>
              <w:rPr>
                <w:noProof/>
                <w:webHidden/>
              </w:rPr>
              <w:fldChar w:fldCharType="begin"/>
            </w:r>
            <w:r>
              <w:rPr>
                <w:noProof/>
                <w:webHidden/>
              </w:rPr>
              <w:instrText xml:space="preserve"> PAGEREF _Toc234959466 \h </w:instrText>
            </w:r>
            <w:r>
              <w:rPr>
                <w:noProof/>
                <w:webHidden/>
              </w:rPr>
            </w:r>
            <w:r>
              <w:rPr>
                <w:noProof/>
                <w:webHidden/>
              </w:rPr>
              <w:fldChar w:fldCharType="separate"/>
            </w:r>
            <w:r>
              <w:rPr>
                <w:noProof/>
                <w:webHidden/>
              </w:rPr>
              <w:t>3</w:t>
            </w:r>
            <w:r>
              <w:rPr>
                <w:noProof/>
                <w:webHidden/>
              </w:rPr>
              <w:fldChar w:fldCharType="end"/>
            </w:r>
          </w:hyperlink>
        </w:p>
        <w:p w14:paraId="77CB0568" w14:textId="13889082" w:rsidR="008163BE" w:rsidRDefault="008163BE">
          <w:pPr>
            <w:pStyle w:val="TDC2"/>
            <w:tabs>
              <w:tab w:val="right" w:leader="dot" w:pos="8544"/>
            </w:tabs>
            <w:rPr>
              <w:rFonts w:cstheme="minorBidi"/>
              <w:noProof/>
              <w:kern w:val="2"/>
              <w:sz w:val="24"/>
              <w:szCs w:val="24"/>
              <w14:ligatures w14:val="standardContextual"/>
            </w:rPr>
          </w:pPr>
          <w:hyperlink w:anchor="_Toc234959467" w:history="1">
            <w:r w:rsidRPr="00E80F65">
              <w:rPr>
                <w:rStyle w:val="Hipervnculo"/>
                <w:noProof/>
              </w:rPr>
              <w:t>1.4 Alcance y aplicabilidad del protocolo</w:t>
            </w:r>
            <w:r>
              <w:rPr>
                <w:noProof/>
                <w:webHidden/>
              </w:rPr>
              <w:tab/>
            </w:r>
            <w:r>
              <w:rPr>
                <w:noProof/>
                <w:webHidden/>
              </w:rPr>
              <w:fldChar w:fldCharType="begin"/>
            </w:r>
            <w:r>
              <w:rPr>
                <w:noProof/>
                <w:webHidden/>
              </w:rPr>
              <w:instrText xml:space="preserve"> PAGEREF _Toc234959467 \h </w:instrText>
            </w:r>
            <w:r>
              <w:rPr>
                <w:noProof/>
                <w:webHidden/>
              </w:rPr>
            </w:r>
            <w:r>
              <w:rPr>
                <w:noProof/>
                <w:webHidden/>
              </w:rPr>
              <w:fldChar w:fldCharType="separate"/>
            </w:r>
            <w:r>
              <w:rPr>
                <w:noProof/>
                <w:webHidden/>
              </w:rPr>
              <w:t>4</w:t>
            </w:r>
            <w:r>
              <w:rPr>
                <w:noProof/>
                <w:webHidden/>
              </w:rPr>
              <w:fldChar w:fldCharType="end"/>
            </w:r>
          </w:hyperlink>
        </w:p>
        <w:p w14:paraId="429B5646" w14:textId="5513129D" w:rsidR="008163BE" w:rsidRDefault="008163BE">
          <w:pPr>
            <w:pStyle w:val="TDC2"/>
            <w:tabs>
              <w:tab w:val="right" w:leader="dot" w:pos="8544"/>
            </w:tabs>
            <w:rPr>
              <w:rFonts w:cstheme="minorBidi"/>
              <w:noProof/>
              <w:kern w:val="2"/>
              <w:sz w:val="24"/>
              <w:szCs w:val="24"/>
              <w14:ligatures w14:val="standardContextual"/>
            </w:rPr>
          </w:pPr>
          <w:hyperlink w:anchor="_Toc234959468" w:history="1">
            <w:r w:rsidRPr="00E80F65">
              <w:rPr>
                <w:rStyle w:val="Hipervnculo"/>
                <w:noProof/>
              </w:rPr>
              <w:t>1.5 Delimitación del problema</w:t>
            </w:r>
            <w:r>
              <w:rPr>
                <w:noProof/>
                <w:webHidden/>
              </w:rPr>
              <w:tab/>
            </w:r>
            <w:r>
              <w:rPr>
                <w:noProof/>
                <w:webHidden/>
              </w:rPr>
              <w:fldChar w:fldCharType="begin"/>
            </w:r>
            <w:r>
              <w:rPr>
                <w:noProof/>
                <w:webHidden/>
              </w:rPr>
              <w:instrText xml:space="preserve"> PAGEREF _Toc234959468 \h </w:instrText>
            </w:r>
            <w:r>
              <w:rPr>
                <w:noProof/>
                <w:webHidden/>
              </w:rPr>
            </w:r>
            <w:r>
              <w:rPr>
                <w:noProof/>
                <w:webHidden/>
              </w:rPr>
              <w:fldChar w:fldCharType="separate"/>
            </w:r>
            <w:r>
              <w:rPr>
                <w:noProof/>
                <w:webHidden/>
              </w:rPr>
              <w:t>5</w:t>
            </w:r>
            <w:r>
              <w:rPr>
                <w:noProof/>
                <w:webHidden/>
              </w:rPr>
              <w:fldChar w:fldCharType="end"/>
            </w:r>
          </w:hyperlink>
        </w:p>
        <w:p w14:paraId="5C49A00F" w14:textId="2D86526D" w:rsidR="008163BE" w:rsidRDefault="008163BE">
          <w:pPr>
            <w:pStyle w:val="TDC2"/>
            <w:tabs>
              <w:tab w:val="right" w:leader="dot" w:pos="8544"/>
            </w:tabs>
            <w:rPr>
              <w:rFonts w:cstheme="minorBidi"/>
              <w:noProof/>
              <w:kern w:val="2"/>
              <w:sz w:val="24"/>
              <w:szCs w:val="24"/>
              <w14:ligatures w14:val="standardContextual"/>
            </w:rPr>
          </w:pPr>
          <w:hyperlink w:anchor="_Toc234959469" w:history="1">
            <w:r w:rsidRPr="00E80F65">
              <w:rPr>
                <w:rStyle w:val="Hipervnculo"/>
                <w:noProof/>
              </w:rPr>
              <w:t>1.6 Pregunta de investigación</w:t>
            </w:r>
            <w:r>
              <w:rPr>
                <w:noProof/>
                <w:webHidden/>
              </w:rPr>
              <w:tab/>
            </w:r>
            <w:r>
              <w:rPr>
                <w:noProof/>
                <w:webHidden/>
              </w:rPr>
              <w:fldChar w:fldCharType="begin"/>
            </w:r>
            <w:r>
              <w:rPr>
                <w:noProof/>
                <w:webHidden/>
              </w:rPr>
              <w:instrText xml:space="preserve"> PAGEREF _Toc234959469 \h </w:instrText>
            </w:r>
            <w:r>
              <w:rPr>
                <w:noProof/>
                <w:webHidden/>
              </w:rPr>
            </w:r>
            <w:r>
              <w:rPr>
                <w:noProof/>
                <w:webHidden/>
              </w:rPr>
              <w:fldChar w:fldCharType="separate"/>
            </w:r>
            <w:r>
              <w:rPr>
                <w:noProof/>
                <w:webHidden/>
              </w:rPr>
              <w:t>5</w:t>
            </w:r>
            <w:r>
              <w:rPr>
                <w:noProof/>
                <w:webHidden/>
              </w:rPr>
              <w:fldChar w:fldCharType="end"/>
            </w:r>
          </w:hyperlink>
        </w:p>
        <w:p w14:paraId="0F8E371E" w14:textId="5DEEEF2C" w:rsidR="008163BE" w:rsidRDefault="008163BE">
          <w:pPr>
            <w:pStyle w:val="TDC2"/>
            <w:tabs>
              <w:tab w:val="right" w:leader="dot" w:pos="8544"/>
            </w:tabs>
            <w:rPr>
              <w:rFonts w:cstheme="minorBidi"/>
              <w:noProof/>
              <w:kern w:val="2"/>
              <w:sz w:val="24"/>
              <w:szCs w:val="24"/>
              <w14:ligatures w14:val="standardContextual"/>
            </w:rPr>
          </w:pPr>
          <w:hyperlink w:anchor="_Toc234959470" w:history="1">
            <w:r w:rsidRPr="00E80F65">
              <w:rPr>
                <w:rStyle w:val="Hipervnculo"/>
                <w:noProof/>
              </w:rPr>
              <w:t>1.7 Objetivos</w:t>
            </w:r>
            <w:r>
              <w:rPr>
                <w:noProof/>
                <w:webHidden/>
              </w:rPr>
              <w:tab/>
            </w:r>
            <w:r>
              <w:rPr>
                <w:noProof/>
                <w:webHidden/>
              </w:rPr>
              <w:fldChar w:fldCharType="begin"/>
            </w:r>
            <w:r>
              <w:rPr>
                <w:noProof/>
                <w:webHidden/>
              </w:rPr>
              <w:instrText xml:space="preserve"> PAGEREF _Toc234959470 \h </w:instrText>
            </w:r>
            <w:r>
              <w:rPr>
                <w:noProof/>
                <w:webHidden/>
              </w:rPr>
            </w:r>
            <w:r>
              <w:rPr>
                <w:noProof/>
                <w:webHidden/>
              </w:rPr>
              <w:fldChar w:fldCharType="separate"/>
            </w:r>
            <w:r>
              <w:rPr>
                <w:noProof/>
                <w:webHidden/>
              </w:rPr>
              <w:t>6</w:t>
            </w:r>
            <w:r>
              <w:rPr>
                <w:noProof/>
                <w:webHidden/>
              </w:rPr>
              <w:fldChar w:fldCharType="end"/>
            </w:r>
          </w:hyperlink>
        </w:p>
        <w:p w14:paraId="5DE5414E" w14:textId="4E7088E8" w:rsidR="008163BE" w:rsidRDefault="008163BE">
          <w:pPr>
            <w:pStyle w:val="TDC1"/>
            <w:rPr>
              <w:rFonts w:cstheme="minorBidi"/>
              <w:noProof/>
              <w:kern w:val="2"/>
              <w:sz w:val="24"/>
              <w:szCs w:val="24"/>
              <w14:ligatures w14:val="standardContextual"/>
            </w:rPr>
          </w:pPr>
          <w:hyperlink w:anchor="_Toc234959471" w:history="1">
            <w:r w:rsidRPr="00E80F65">
              <w:rPr>
                <w:rStyle w:val="Hipervnculo"/>
                <w:noProof/>
              </w:rPr>
              <w:t>Capítulo II: Metodología</w:t>
            </w:r>
            <w:r>
              <w:rPr>
                <w:noProof/>
                <w:webHidden/>
              </w:rPr>
              <w:tab/>
            </w:r>
            <w:r>
              <w:rPr>
                <w:noProof/>
                <w:webHidden/>
              </w:rPr>
              <w:fldChar w:fldCharType="begin"/>
            </w:r>
            <w:r>
              <w:rPr>
                <w:noProof/>
                <w:webHidden/>
              </w:rPr>
              <w:instrText xml:space="preserve"> PAGEREF _Toc234959471 \h </w:instrText>
            </w:r>
            <w:r>
              <w:rPr>
                <w:noProof/>
                <w:webHidden/>
              </w:rPr>
            </w:r>
            <w:r>
              <w:rPr>
                <w:noProof/>
                <w:webHidden/>
              </w:rPr>
              <w:fldChar w:fldCharType="separate"/>
            </w:r>
            <w:r>
              <w:rPr>
                <w:noProof/>
                <w:webHidden/>
              </w:rPr>
              <w:t>7</w:t>
            </w:r>
            <w:r>
              <w:rPr>
                <w:noProof/>
                <w:webHidden/>
              </w:rPr>
              <w:fldChar w:fldCharType="end"/>
            </w:r>
          </w:hyperlink>
        </w:p>
        <w:p w14:paraId="3F072B26" w14:textId="30D0D6B5" w:rsidR="008163BE" w:rsidRDefault="008163BE">
          <w:pPr>
            <w:pStyle w:val="TDC2"/>
            <w:tabs>
              <w:tab w:val="right" w:leader="dot" w:pos="8544"/>
            </w:tabs>
            <w:rPr>
              <w:rFonts w:cstheme="minorBidi"/>
              <w:noProof/>
              <w:kern w:val="2"/>
              <w:sz w:val="24"/>
              <w:szCs w:val="24"/>
              <w14:ligatures w14:val="standardContextual"/>
            </w:rPr>
          </w:pPr>
          <w:hyperlink w:anchor="_Toc234959472" w:history="1">
            <w:r w:rsidRPr="00E80F65">
              <w:rPr>
                <w:rStyle w:val="Hipervnculo"/>
                <w:noProof/>
              </w:rPr>
              <w:t>2.1 Diseño y contexto del estudio</w:t>
            </w:r>
            <w:r>
              <w:rPr>
                <w:noProof/>
                <w:webHidden/>
              </w:rPr>
              <w:tab/>
            </w:r>
            <w:r>
              <w:rPr>
                <w:noProof/>
                <w:webHidden/>
              </w:rPr>
              <w:fldChar w:fldCharType="begin"/>
            </w:r>
            <w:r>
              <w:rPr>
                <w:noProof/>
                <w:webHidden/>
              </w:rPr>
              <w:instrText xml:space="preserve"> PAGEREF _Toc234959472 \h </w:instrText>
            </w:r>
            <w:r>
              <w:rPr>
                <w:noProof/>
                <w:webHidden/>
              </w:rPr>
            </w:r>
            <w:r>
              <w:rPr>
                <w:noProof/>
                <w:webHidden/>
              </w:rPr>
              <w:fldChar w:fldCharType="separate"/>
            </w:r>
            <w:r>
              <w:rPr>
                <w:noProof/>
                <w:webHidden/>
              </w:rPr>
              <w:t>7</w:t>
            </w:r>
            <w:r>
              <w:rPr>
                <w:noProof/>
                <w:webHidden/>
              </w:rPr>
              <w:fldChar w:fldCharType="end"/>
            </w:r>
          </w:hyperlink>
        </w:p>
        <w:p w14:paraId="110F142B" w14:textId="14920883" w:rsidR="008163BE" w:rsidRDefault="008163BE">
          <w:pPr>
            <w:pStyle w:val="TDC2"/>
            <w:tabs>
              <w:tab w:val="right" w:leader="dot" w:pos="8544"/>
            </w:tabs>
            <w:rPr>
              <w:rFonts w:cstheme="minorBidi"/>
              <w:noProof/>
              <w:kern w:val="2"/>
              <w:sz w:val="24"/>
              <w:szCs w:val="24"/>
              <w14:ligatures w14:val="standardContextual"/>
            </w:rPr>
          </w:pPr>
          <w:hyperlink w:anchor="_Toc234959473" w:history="1">
            <w:r w:rsidRPr="00E80F65">
              <w:rPr>
                <w:rStyle w:val="Hipervnculo"/>
                <w:noProof/>
              </w:rPr>
              <w:t>2.2 Diagnóstico de las brechas del programa</w:t>
            </w:r>
            <w:r>
              <w:rPr>
                <w:noProof/>
                <w:webHidden/>
              </w:rPr>
              <w:tab/>
            </w:r>
            <w:r>
              <w:rPr>
                <w:noProof/>
                <w:webHidden/>
              </w:rPr>
              <w:fldChar w:fldCharType="begin"/>
            </w:r>
            <w:r>
              <w:rPr>
                <w:noProof/>
                <w:webHidden/>
              </w:rPr>
              <w:instrText xml:space="preserve"> PAGEREF _Toc234959473 \h </w:instrText>
            </w:r>
            <w:r>
              <w:rPr>
                <w:noProof/>
                <w:webHidden/>
              </w:rPr>
            </w:r>
            <w:r>
              <w:rPr>
                <w:noProof/>
                <w:webHidden/>
              </w:rPr>
              <w:fldChar w:fldCharType="separate"/>
            </w:r>
            <w:r>
              <w:rPr>
                <w:noProof/>
                <w:webHidden/>
              </w:rPr>
              <w:t>7</w:t>
            </w:r>
            <w:r>
              <w:rPr>
                <w:noProof/>
                <w:webHidden/>
              </w:rPr>
              <w:fldChar w:fldCharType="end"/>
            </w:r>
          </w:hyperlink>
        </w:p>
        <w:p w14:paraId="0A85746A" w14:textId="3410236A" w:rsidR="008163BE" w:rsidRDefault="008163BE">
          <w:pPr>
            <w:pStyle w:val="TDC2"/>
            <w:tabs>
              <w:tab w:val="right" w:leader="dot" w:pos="8544"/>
            </w:tabs>
            <w:rPr>
              <w:rFonts w:cstheme="minorBidi"/>
              <w:noProof/>
              <w:kern w:val="2"/>
              <w:sz w:val="24"/>
              <w:szCs w:val="24"/>
              <w14:ligatures w14:val="standardContextual"/>
            </w:rPr>
          </w:pPr>
          <w:hyperlink w:anchor="_Toc234959474" w:history="1">
            <w:r w:rsidRPr="00E80F65">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_Toc234959474 \h </w:instrText>
            </w:r>
            <w:r>
              <w:rPr>
                <w:noProof/>
                <w:webHidden/>
              </w:rPr>
            </w:r>
            <w:r>
              <w:rPr>
                <w:noProof/>
                <w:webHidden/>
              </w:rPr>
              <w:fldChar w:fldCharType="separate"/>
            </w:r>
            <w:r>
              <w:rPr>
                <w:noProof/>
                <w:webHidden/>
              </w:rPr>
              <w:t>9</w:t>
            </w:r>
            <w:r>
              <w:rPr>
                <w:noProof/>
                <w:webHidden/>
              </w:rPr>
              <w:fldChar w:fldCharType="end"/>
            </w:r>
          </w:hyperlink>
        </w:p>
        <w:p w14:paraId="3CCFC23A" w14:textId="1D658C7E" w:rsidR="008163BE" w:rsidRDefault="008163BE">
          <w:pPr>
            <w:pStyle w:val="TDC2"/>
            <w:tabs>
              <w:tab w:val="right" w:leader="dot" w:pos="8544"/>
            </w:tabs>
            <w:rPr>
              <w:rFonts w:cstheme="minorBidi"/>
              <w:noProof/>
              <w:kern w:val="2"/>
              <w:sz w:val="24"/>
              <w:szCs w:val="24"/>
              <w14:ligatures w14:val="standardContextual"/>
            </w:rPr>
          </w:pPr>
          <w:hyperlink w:anchor="_Toc234959475" w:history="1">
            <w:r w:rsidRPr="00E80F65">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_Toc234959475 \h </w:instrText>
            </w:r>
            <w:r>
              <w:rPr>
                <w:noProof/>
                <w:webHidden/>
              </w:rPr>
            </w:r>
            <w:r>
              <w:rPr>
                <w:noProof/>
                <w:webHidden/>
              </w:rPr>
              <w:fldChar w:fldCharType="separate"/>
            </w:r>
            <w:r>
              <w:rPr>
                <w:noProof/>
                <w:webHidden/>
              </w:rPr>
              <w:t>16</w:t>
            </w:r>
            <w:r>
              <w:rPr>
                <w:noProof/>
                <w:webHidden/>
              </w:rPr>
              <w:fldChar w:fldCharType="end"/>
            </w:r>
          </w:hyperlink>
        </w:p>
        <w:p w14:paraId="095AFBFF" w14:textId="2987961C" w:rsidR="008163BE" w:rsidRDefault="008163BE">
          <w:pPr>
            <w:pStyle w:val="TDC2"/>
            <w:tabs>
              <w:tab w:val="right" w:leader="dot" w:pos="8544"/>
            </w:tabs>
            <w:rPr>
              <w:rFonts w:cstheme="minorBidi"/>
              <w:noProof/>
              <w:kern w:val="2"/>
              <w:sz w:val="24"/>
              <w:szCs w:val="24"/>
              <w14:ligatures w14:val="standardContextual"/>
            </w:rPr>
          </w:pPr>
          <w:hyperlink w:anchor="_Toc234959476" w:history="1">
            <w:r w:rsidRPr="00E80F65">
              <w:rPr>
                <w:rStyle w:val="Hipervnculo"/>
                <w:noProof/>
              </w:rPr>
              <w:t>2.5 Consideraciones éticas</w:t>
            </w:r>
            <w:r>
              <w:rPr>
                <w:noProof/>
                <w:webHidden/>
              </w:rPr>
              <w:tab/>
            </w:r>
            <w:r>
              <w:rPr>
                <w:noProof/>
                <w:webHidden/>
              </w:rPr>
              <w:fldChar w:fldCharType="begin"/>
            </w:r>
            <w:r>
              <w:rPr>
                <w:noProof/>
                <w:webHidden/>
              </w:rPr>
              <w:instrText xml:space="preserve"> PAGEREF _Toc234959476 \h </w:instrText>
            </w:r>
            <w:r>
              <w:rPr>
                <w:noProof/>
                <w:webHidden/>
              </w:rPr>
            </w:r>
            <w:r>
              <w:rPr>
                <w:noProof/>
                <w:webHidden/>
              </w:rPr>
              <w:fldChar w:fldCharType="separate"/>
            </w:r>
            <w:r>
              <w:rPr>
                <w:noProof/>
                <w:webHidden/>
              </w:rPr>
              <w:t>17</w:t>
            </w:r>
            <w:r>
              <w:rPr>
                <w:noProof/>
                <w:webHidden/>
              </w:rPr>
              <w:fldChar w:fldCharType="end"/>
            </w:r>
          </w:hyperlink>
        </w:p>
        <w:p w14:paraId="02821FB6" w14:textId="14B583BC" w:rsidR="008163BE" w:rsidRDefault="008163BE">
          <w:pPr>
            <w:pStyle w:val="TDC1"/>
            <w:rPr>
              <w:rFonts w:cstheme="minorBidi"/>
              <w:noProof/>
              <w:kern w:val="2"/>
              <w:sz w:val="24"/>
              <w:szCs w:val="24"/>
              <w14:ligatures w14:val="standardContextual"/>
            </w:rPr>
          </w:pPr>
          <w:hyperlink w:anchor="_Toc234959477" w:history="1">
            <w:r w:rsidRPr="00E80F65">
              <w:rPr>
                <w:rStyle w:val="Hipervnculo"/>
                <w:noProof/>
              </w:rPr>
              <w:t>Bibliografía</w:t>
            </w:r>
            <w:r>
              <w:rPr>
                <w:noProof/>
                <w:webHidden/>
              </w:rPr>
              <w:tab/>
            </w:r>
            <w:r>
              <w:rPr>
                <w:noProof/>
                <w:webHidden/>
              </w:rPr>
              <w:fldChar w:fldCharType="begin"/>
            </w:r>
            <w:r>
              <w:rPr>
                <w:noProof/>
                <w:webHidden/>
              </w:rPr>
              <w:instrText xml:space="preserve"> PAGEREF _Toc234959477 \h </w:instrText>
            </w:r>
            <w:r>
              <w:rPr>
                <w:noProof/>
                <w:webHidden/>
              </w:rPr>
            </w:r>
            <w:r>
              <w:rPr>
                <w:noProof/>
                <w:webHidden/>
              </w:rPr>
              <w:fldChar w:fldCharType="separate"/>
            </w:r>
            <w:r>
              <w:rPr>
                <w:noProof/>
                <w:webHidden/>
              </w:rPr>
              <w:t>18</w:t>
            </w:r>
            <w:r>
              <w:rPr>
                <w:noProof/>
                <w:webHidden/>
              </w:rPr>
              <w:fldChar w:fldCharType="end"/>
            </w:r>
          </w:hyperlink>
        </w:p>
        <w:p w14:paraId="550733D3" w14:textId="0BA3183E" w:rsidR="008163BE" w:rsidRDefault="008163BE">
          <w:pPr>
            <w:pStyle w:val="TDC1"/>
            <w:rPr>
              <w:rFonts w:cstheme="minorBidi"/>
              <w:noProof/>
              <w:kern w:val="2"/>
              <w:sz w:val="24"/>
              <w:szCs w:val="24"/>
              <w14:ligatures w14:val="standardContextual"/>
            </w:rPr>
          </w:pPr>
          <w:hyperlink w:anchor="_Toc234959478" w:history="1">
            <w:r w:rsidRPr="00E80F65">
              <w:rPr>
                <w:rStyle w:val="Hipervnculo"/>
                <w:noProof/>
              </w:rPr>
              <w:t>Anexos</w:t>
            </w:r>
            <w:r>
              <w:rPr>
                <w:noProof/>
                <w:webHidden/>
              </w:rPr>
              <w:tab/>
            </w:r>
            <w:r>
              <w:rPr>
                <w:noProof/>
                <w:webHidden/>
              </w:rPr>
              <w:fldChar w:fldCharType="begin"/>
            </w:r>
            <w:r>
              <w:rPr>
                <w:noProof/>
                <w:webHidden/>
              </w:rPr>
              <w:instrText xml:space="preserve"> PAGEREF _Toc234959478 \h </w:instrText>
            </w:r>
            <w:r>
              <w:rPr>
                <w:noProof/>
                <w:webHidden/>
              </w:rPr>
            </w:r>
            <w:r>
              <w:rPr>
                <w:noProof/>
                <w:webHidden/>
              </w:rPr>
              <w:fldChar w:fldCharType="separate"/>
            </w:r>
            <w:r>
              <w:rPr>
                <w:noProof/>
                <w:webHidden/>
              </w:rPr>
              <w:t>21</w:t>
            </w:r>
            <w:r>
              <w:rPr>
                <w:noProof/>
                <w:webHidden/>
              </w:rPr>
              <w:fldChar w:fldCharType="end"/>
            </w:r>
          </w:hyperlink>
        </w:p>
        <w:p w14:paraId="105C1407" w14:textId="2AA362BE" w:rsidR="008163BE" w:rsidRDefault="008163BE">
          <w:pPr>
            <w:pStyle w:val="TDC2"/>
            <w:tabs>
              <w:tab w:val="right" w:leader="dot" w:pos="8544"/>
            </w:tabs>
            <w:rPr>
              <w:rFonts w:cstheme="minorBidi"/>
              <w:noProof/>
              <w:kern w:val="2"/>
              <w:sz w:val="24"/>
              <w:szCs w:val="24"/>
              <w14:ligatures w14:val="standardContextual"/>
            </w:rPr>
          </w:pPr>
          <w:hyperlink w:anchor="_Toc234959479" w:history="1">
            <w:r w:rsidRPr="00E80F65">
              <w:rPr>
                <w:rStyle w:val="Hipervnculo"/>
                <w:noProof/>
              </w:rPr>
              <w:t>Anexo 1. Ficha de conciliación farmacéutica</w:t>
            </w:r>
            <w:r>
              <w:rPr>
                <w:noProof/>
                <w:webHidden/>
              </w:rPr>
              <w:tab/>
            </w:r>
            <w:r>
              <w:rPr>
                <w:noProof/>
                <w:webHidden/>
              </w:rPr>
              <w:fldChar w:fldCharType="begin"/>
            </w:r>
            <w:r>
              <w:rPr>
                <w:noProof/>
                <w:webHidden/>
              </w:rPr>
              <w:instrText xml:space="preserve"> PAGEREF _Toc234959479 \h </w:instrText>
            </w:r>
            <w:r>
              <w:rPr>
                <w:noProof/>
                <w:webHidden/>
              </w:rPr>
            </w:r>
            <w:r>
              <w:rPr>
                <w:noProof/>
                <w:webHidden/>
              </w:rPr>
              <w:fldChar w:fldCharType="separate"/>
            </w:r>
            <w:r>
              <w:rPr>
                <w:noProof/>
                <w:webHidden/>
              </w:rPr>
              <w:t>21</w:t>
            </w:r>
            <w:r>
              <w:rPr>
                <w:noProof/>
                <w:webHidden/>
              </w:rPr>
              <w:fldChar w:fldCharType="end"/>
            </w:r>
          </w:hyperlink>
        </w:p>
        <w:p w14:paraId="37790A04" w14:textId="4EA91DE0" w:rsidR="008163BE" w:rsidRDefault="008163BE">
          <w:pPr>
            <w:pStyle w:val="TDC2"/>
            <w:tabs>
              <w:tab w:val="right" w:leader="dot" w:pos="8544"/>
            </w:tabs>
            <w:rPr>
              <w:rFonts w:cstheme="minorBidi"/>
              <w:noProof/>
              <w:kern w:val="2"/>
              <w:sz w:val="24"/>
              <w:szCs w:val="24"/>
              <w14:ligatures w14:val="standardContextual"/>
            </w:rPr>
          </w:pPr>
          <w:hyperlink w:anchor="_Toc234959480" w:history="1">
            <w:r w:rsidRPr="00E80F65">
              <w:rPr>
                <w:rStyle w:val="Hipervnculo"/>
                <w:noProof/>
              </w:rPr>
              <w:t>Anexo 2. Test de adherencia de Morisky-Green-Levine</w:t>
            </w:r>
            <w:r>
              <w:rPr>
                <w:noProof/>
                <w:webHidden/>
              </w:rPr>
              <w:tab/>
            </w:r>
            <w:r>
              <w:rPr>
                <w:noProof/>
                <w:webHidden/>
              </w:rPr>
              <w:fldChar w:fldCharType="begin"/>
            </w:r>
            <w:r>
              <w:rPr>
                <w:noProof/>
                <w:webHidden/>
              </w:rPr>
              <w:instrText xml:space="preserve"> PAGEREF _Toc234959480 \h </w:instrText>
            </w:r>
            <w:r>
              <w:rPr>
                <w:noProof/>
                <w:webHidden/>
              </w:rPr>
            </w:r>
            <w:r>
              <w:rPr>
                <w:noProof/>
                <w:webHidden/>
              </w:rPr>
              <w:fldChar w:fldCharType="separate"/>
            </w:r>
            <w:r>
              <w:rPr>
                <w:noProof/>
                <w:webHidden/>
              </w:rPr>
              <w:t>21</w:t>
            </w:r>
            <w:r>
              <w:rPr>
                <w:noProof/>
                <w:webHidden/>
              </w:rPr>
              <w:fldChar w:fldCharType="end"/>
            </w:r>
          </w:hyperlink>
        </w:p>
        <w:p w14:paraId="3981FB25" w14:textId="219F95A7" w:rsidR="008163BE" w:rsidRDefault="008163BE">
          <w:pPr>
            <w:pStyle w:val="TDC2"/>
            <w:tabs>
              <w:tab w:val="right" w:leader="dot" w:pos="8544"/>
            </w:tabs>
            <w:rPr>
              <w:rFonts w:cstheme="minorBidi"/>
              <w:noProof/>
              <w:kern w:val="2"/>
              <w:sz w:val="24"/>
              <w:szCs w:val="24"/>
              <w14:ligatures w14:val="standardContextual"/>
            </w:rPr>
          </w:pPr>
          <w:hyperlink w:anchor="_Toc234959481" w:history="1">
            <w:r w:rsidRPr="00E80F65">
              <w:rPr>
                <w:rStyle w:val="Hipervnculo"/>
                <w:noProof/>
              </w:rPr>
              <w:t>Anexo 3. Ficha de seguimiento farmacoterapéutico</w:t>
            </w:r>
            <w:r>
              <w:rPr>
                <w:noProof/>
                <w:webHidden/>
              </w:rPr>
              <w:tab/>
            </w:r>
            <w:r>
              <w:rPr>
                <w:noProof/>
                <w:webHidden/>
              </w:rPr>
              <w:fldChar w:fldCharType="begin"/>
            </w:r>
            <w:r>
              <w:rPr>
                <w:noProof/>
                <w:webHidden/>
              </w:rPr>
              <w:instrText xml:space="preserve"> PAGEREF _Toc234959481 \h </w:instrText>
            </w:r>
            <w:r>
              <w:rPr>
                <w:noProof/>
                <w:webHidden/>
              </w:rPr>
            </w:r>
            <w:r>
              <w:rPr>
                <w:noProof/>
                <w:webHidden/>
              </w:rPr>
              <w:fldChar w:fldCharType="separate"/>
            </w:r>
            <w:r>
              <w:rPr>
                <w:noProof/>
                <w:webHidden/>
              </w:rPr>
              <w:t>21</w:t>
            </w:r>
            <w:r>
              <w:rPr>
                <w:noProof/>
                <w:webHidden/>
              </w:rPr>
              <w:fldChar w:fldCharType="end"/>
            </w:r>
          </w:hyperlink>
        </w:p>
        <w:p w14:paraId="4A8C7D0D" w14:textId="7411A7B7" w:rsidR="008163BE" w:rsidRDefault="008163BE">
          <w:pPr>
            <w:pStyle w:val="TDC2"/>
            <w:tabs>
              <w:tab w:val="right" w:leader="dot" w:pos="8544"/>
            </w:tabs>
            <w:rPr>
              <w:rFonts w:cstheme="minorBidi"/>
              <w:noProof/>
              <w:kern w:val="2"/>
              <w:sz w:val="24"/>
              <w:szCs w:val="24"/>
              <w14:ligatures w14:val="standardContextual"/>
            </w:rPr>
          </w:pPr>
          <w:hyperlink w:anchor="_Toc234959482" w:history="1">
            <w:r w:rsidRPr="00E80F65">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_Toc234959482 \h </w:instrText>
            </w:r>
            <w:r>
              <w:rPr>
                <w:noProof/>
                <w:webHidden/>
              </w:rPr>
            </w:r>
            <w:r>
              <w:rPr>
                <w:noProof/>
                <w:webHidden/>
              </w:rPr>
              <w:fldChar w:fldCharType="separate"/>
            </w:r>
            <w:r>
              <w:rPr>
                <w:noProof/>
                <w:webHidden/>
              </w:rPr>
              <w:t>22</w:t>
            </w:r>
            <w:r>
              <w:rPr>
                <w:noProof/>
                <w:webHidden/>
              </w:rPr>
              <w:fldChar w:fldCharType="end"/>
            </w:r>
          </w:hyperlink>
        </w:p>
        <w:p w14:paraId="0AA647EC" w14:textId="38342938" w:rsidR="008163BE" w:rsidRDefault="008163BE">
          <w:pPr>
            <w:pStyle w:val="TDC2"/>
            <w:tabs>
              <w:tab w:val="right" w:leader="dot" w:pos="8544"/>
            </w:tabs>
            <w:rPr>
              <w:rFonts w:cstheme="minorBidi"/>
              <w:noProof/>
              <w:kern w:val="2"/>
              <w:sz w:val="24"/>
              <w:szCs w:val="24"/>
              <w14:ligatures w14:val="standardContextual"/>
            </w:rPr>
          </w:pPr>
          <w:hyperlink w:anchor="_Toc234959483" w:history="1">
            <w:r w:rsidRPr="00E80F65">
              <w:rPr>
                <w:rStyle w:val="Hipervnculo"/>
                <w:noProof/>
              </w:rPr>
              <w:t>Anexo 5. Protocolo de llamada telefónica</w:t>
            </w:r>
            <w:r>
              <w:rPr>
                <w:noProof/>
                <w:webHidden/>
              </w:rPr>
              <w:tab/>
            </w:r>
            <w:r>
              <w:rPr>
                <w:noProof/>
                <w:webHidden/>
              </w:rPr>
              <w:fldChar w:fldCharType="begin"/>
            </w:r>
            <w:r>
              <w:rPr>
                <w:noProof/>
                <w:webHidden/>
              </w:rPr>
              <w:instrText xml:space="preserve"> PAGEREF _Toc234959483 \h </w:instrText>
            </w:r>
            <w:r>
              <w:rPr>
                <w:noProof/>
                <w:webHidden/>
              </w:rPr>
            </w:r>
            <w:r>
              <w:rPr>
                <w:noProof/>
                <w:webHidden/>
              </w:rPr>
              <w:fldChar w:fldCharType="separate"/>
            </w:r>
            <w:r>
              <w:rPr>
                <w:noProof/>
                <w:webHidden/>
              </w:rPr>
              <w:t>22</w:t>
            </w:r>
            <w:r>
              <w:rPr>
                <w:noProof/>
                <w:webHidden/>
              </w:rPr>
              <w:fldChar w:fldCharType="end"/>
            </w:r>
          </w:hyperlink>
        </w:p>
        <w:p w14:paraId="2821E74D" w14:textId="54CDE183" w:rsidR="008163BE" w:rsidRDefault="008163BE">
          <w:pPr>
            <w:pStyle w:val="TDC2"/>
            <w:tabs>
              <w:tab w:val="right" w:leader="dot" w:pos="8544"/>
            </w:tabs>
            <w:rPr>
              <w:rFonts w:cstheme="minorBidi"/>
              <w:noProof/>
              <w:kern w:val="2"/>
              <w:sz w:val="24"/>
              <w:szCs w:val="24"/>
              <w14:ligatures w14:val="standardContextual"/>
            </w:rPr>
          </w:pPr>
          <w:hyperlink w:anchor="_Toc234959484" w:history="1">
            <w:r w:rsidRPr="00E80F65">
              <w:rPr>
                <w:rStyle w:val="Hipervnculo"/>
                <w:noProof/>
              </w:rPr>
              <w:t>Anexo 6. Clasificación de los PRM y RNM</w:t>
            </w:r>
            <w:r>
              <w:rPr>
                <w:noProof/>
                <w:webHidden/>
              </w:rPr>
              <w:tab/>
            </w:r>
            <w:r>
              <w:rPr>
                <w:noProof/>
                <w:webHidden/>
              </w:rPr>
              <w:fldChar w:fldCharType="begin"/>
            </w:r>
            <w:r>
              <w:rPr>
                <w:noProof/>
                <w:webHidden/>
              </w:rPr>
              <w:instrText xml:space="preserve"> PAGEREF _Toc234959484 \h </w:instrText>
            </w:r>
            <w:r>
              <w:rPr>
                <w:noProof/>
                <w:webHidden/>
              </w:rPr>
            </w:r>
            <w:r>
              <w:rPr>
                <w:noProof/>
                <w:webHidden/>
              </w:rPr>
              <w:fldChar w:fldCharType="separate"/>
            </w:r>
            <w:r>
              <w:rPr>
                <w:noProof/>
                <w:webHidden/>
              </w:rPr>
              <w:t>22</w:t>
            </w:r>
            <w:r>
              <w:rPr>
                <w:noProof/>
                <w:webHidden/>
              </w:rPr>
              <w:fldChar w:fldCharType="end"/>
            </w:r>
          </w:hyperlink>
        </w:p>
        <w:p w14:paraId="37B34226" w14:textId="3B05D01C" w:rsidR="008163BE" w:rsidRDefault="008163BE">
          <w:pPr>
            <w:pStyle w:val="TDC2"/>
            <w:tabs>
              <w:tab w:val="right" w:leader="dot" w:pos="8544"/>
            </w:tabs>
            <w:rPr>
              <w:rFonts w:cstheme="minorBidi"/>
              <w:noProof/>
              <w:kern w:val="2"/>
              <w:sz w:val="24"/>
              <w:szCs w:val="24"/>
              <w14:ligatures w14:val="standardContextual"/>
            </w:rPr>
          </w:pPr>
          <w:hyperlink w:anchor="_Toc234959485" w:history="1">
            <w:r w:rsidRPr="00E80F65">
              <w:rPr>
                <w:rStyle w:val="Hipervnculo"/>
                <w:noProof/>
              </w:rPr>
              <w:t>Anexo 7. Medidas para la resolución de PRM</w:t>
            </w:r>
            <w:r>
              <w:rPr>
                <w:noProof/>
                <w:webHidden/>
              </w:rPr>
              <w:tab/>
            </w:r>
            <w:r>
              <w:rPr>
                <w:noProof/>
                <w:webHidden/>
              </w:rPr>
              <w:fldChar w:fldCharType="begin"/>
            </w:r>
            <w:r>
              <w:rPr>
                <w:noProof/>
                <w:webHidden/>
              </w:rPr>
              <w:instrText xml:space="preserve"> PAGEREF _Toc234959485 \h </w:instrText>
            </w:r>
            <w:r>
              <w:rPr>
                <w:noProof/>
                <w:webHidden/>
              </w:rPr>
            </w:r>
            <w:r>
              <w:rPr>
                <w:noProof/>
                <w:webHidden/>
              </w:rPr>
              <w:fldChar w:fldCharType="separate"/>
            </w:r>
            <w:r>
              <w:rPr>
                <w:noProof/>
                <w:webHidden/>
              </w:rPr>
              <w:t>22</w:t>
            </w:r>
            <w:r>
              <w:rPr>
                <w:noProof/>
                <w:webHidden/>
              </w:rPr>
              <w:fldChar w:fldCharType="end"/>
            </w:r>
          </w:hyperlink>
        </w:p>
        <w:p w14:paraId="5ADF9E0F" w14:textId="72FD8916" w:rsidR="10550309" w:rsidRDefault="10550309">
          <w:r>
            <w:fldChar w:fldCharType="end"/>
          </w:r>
        </w:p>
      </w:sdtContent>
    </w:sdt>
    <w:p w14:paraId="66053983" w14:textId="77777777" w:rsidR="00A012DE" w:rsidRPr="00516C7A" w:rsidRDefault="00A012DE" w:rsidP="00516C7A">
      <w:pPr>
        <w:spacing w:line="360" w:lineRule="auto"/>
        <w:jc w:val="both"/>
        <w:rPr>
          <w:rFonts w:ascii="Arial" w:hAnsi="Arial" w:cs="Arial"/>
          <w:b/>
          <w:bCs/>
          <w:sz w:val="24"/>
          <w:szCs w:val="24"/>
          <w:lang w:val="es-MX"/>
        </w:rPr>
      </w:pPr>
    </w:p>
    <w:p w14:paraId="7A867139" w14:textId="77777777" w:rsidR="00FE6D5A" w:rsidRDefault="00FE6D5A" w:rsidP="00293C41">
      <w:pPr>
        <w:spacing w:line="360" w:lineRule="auto"/>
        <w:jc w:val="both"/>
        <w:rPr>
          <w:rFonts w:ascii="Arial" w:hAnsi="Arial" w:cs="Arial"/>
          <w:b/>
          <w:bCs/>
          <w:sz w:val="24"/>
          <w:szCs w:val="24"/>
          <w:lang w:val="es-MX"/>
        </w:rPr>
      </w:pPr>
    </w:p>
    <w:p w14:paraId="0DEDACFB" w14:textId="77777777" w:rsidR="00532D45" w:rsidRDefault="00532D45" w:rsidP="00293C41">
      <w:pPr>
        <w:spacing w:line="360" w:lineRule="auto"/>
        <w:jc w:val="both"/>
        <w:rPr>
          <w:rFonts w:ascii="Arial" w:hAnsi="Arial" w:cs="Arial"/>
          <w:b/>
          <w:bCs/>
          <w:sz w:val="24"/>
          <w:szCs w:val="24"/>
          <w:lang w:val="es-MX"/>
        </w:rPr>
      </w:pPr>
    </w:p>
    <w:p w14:paraId="3B7E303F" w14:textId="77777777" w:rsidR="00516C7A" w:rsidRDefault="00516C7A" w:rsidP="00293C41">
      <w:pPr>
        <w:spacing w:line="360" w:lineRule="auto"/>
        <w:jc w:val="both"/>
        <w:rPr>
          <w:rFonts w:ascii="Arial" w:hAnsi="Arial" w:cs="Arial"/>
          <w:b/>
          <w:bCs/>
          <w:sz w:val="24"/>
          <w:szCs w:val="24"/>
          <w:lang w:val="es-MX"/>
        </w:rPr>
      </w:pPr>
    </w:p>
    <w:p w14:paraId="21B06A8A" w14:textId="0B5D0E64" w:rsidR="00AF39CB" w:rsidRDefault="00AF39CB" w:rsidP="10550309">
      <w:pPr>
        <w:spacing w:line="360" w:lineRule="auto"/>
        <w:jc w:val="both"/>
        <w:rPr>
          <w:rFonts w:ascii="Arial" w:hAnsi="Arial" w:cs="Arial"/>
          <w:b/>
          <w:bCs/>
          <w:sz w:val="24"/>
          <w:szCs w:val="24"/>
          <w:lang w:val="es-MX"/>
        </w:rPr>
      </w:pPr>
    </w:p>
    <w:p w14:paraId="4F352922" w14:textId="2BF2B80C" w:rsidR="00644D4C" w:rsidRDefault="00570B16" w:rsidP="00532D45">
      <w:pPr>
        <w:spacing w:line="360" w:lineRule="auto"/>
        <w:jc w:val="center"/>
        <w:rPr>
          <w:rFonts w:ascii="Arial" w:hAnsi="Arial" w:cs="Arial"/>
          <w:b/>
          <w:bCs/>
          <w:sz w:val="24"/>
          <w:szCs w:val="24"/>
          <w:lang w:val="es-MX"/>
        </w:rPr>
      </w:pPr>
      <w:r w:rsidRPr="00FE6D5A">
        <w:rPr>
          <w:rFonts w:ascii="Arial" w:hAnsi="Arial" w:cs="Arial"/>
          <w:b/>
          <w:bCs/>
          <w:sz w:val="24"/>
          <w:szCs w:val="24"/>
          <w:lang w:val="es-MX"/>
        </w:rPr>
        <w:lastRenderedPageBreak/>
        <w:t>ÍNDICE DE TABLAS</w:t>
      </w:r>
    </w:p>
    <w:p w14:paraId="0ED4F16E" w14:textId="74BB9BC0" w:rsidR="00532D45" w:rsidRDefault="00532D45" w:rsidP="00532D45">
      <w:pPr>
        <w:spacing w:line="360" w:lineRule="auto"/>
        <w:jc w:val="center"/>
        <w:rPr>
          <w:rFonts w:ascii="Arial" w:hAnsi="Arial" w:cs="Arial"/>
          <w:b/>
          <w:bCs/>
          <w:sz w:val="24"/>
          <w:szCs w:val="24"/>
          <w:lang w:val="es-MX"/>
        </w:rPr>
      </w:pPr>
    </w:p>
    <w:p w14:paraId="529E1FBA" w14:textId="7D2209AD" w:rsidR="00FB0AA6" w:rsidRDefault="00FB0AA6" w:rsidP="10550309">
      <w:pPr>
        <w:spacing w:line="360" w:lineRule="auto"/>
        <w:jc w:val="both"/>
        <w:rPr>
          <w:rFonts w:ascii="Arial" w:hAnsi="Arial" w:cs="Arial"/>
          <w:b/>
          <w:bCs/>
          <w:sz w:val="24"/>
          <w:szCs w:val="24"/>
          <w:lang w:val="es-MX"/>
        </w:rPr>
      </w:pPr>
    </w:p>
    <w:p w14:paraId="76E62676" w14:textId="77777777" w:rsidR="00FD1A7B" w:rsidRDefault="00FD1A7B" w:rsidP="00EB0159">
      <w:pPr>
        <w:pStyle w:val="TDC1"/>
        <w:spacing w:line="360" w:lineRule="auto"/>
        <w:rPr>
          <w:rFonts w:cstheme="minorBidi"/>
          <w:noProof/>
          <w:kern w:val="2"/>
          <w:sz w:val="24"/>
          <w:szCs w:val="24"/>
          <w:lang w:val="es-419" w:eastAsia="es-419"/>
        </w:rPr>
      </w:pPr>
    </w:p>
    <w:p w14:paraId="22C5A3B8" w14:textId="77777777" w:rsidR="00F16909" w:rsidRDefault="00F16909" w:rsidP="00F16909">
      <w:pPr>
        <w:rPr>
          <w:lang w:val="es-419" w:eastAsia="es-419"/>
        </w:rPr>
      </w:pPr>
    </w:p>
    <w:p w14:paraId="47EA35B8" w14:textId="77777777" w:rsidR="00F16909" w:rsidRDefault="00F16909" w:rsidP="00F16909">
      <w:pPr>
        <w:rPr>
          <w:lang w:val="es-419" w:eastAsia="es-419"/>
        </w:rPr>
      </w:pPr>
    </w:p>
    <w:p w14:paraId="62677551" w14:textId="77777777" w:rsidR="00F16909" w:rsidRDefault="00F16909" w:rsidP="00F16909">
      <w:pPr>
        <w:rPr>
          <w:lang w:val="es-419" w:eastAsia="es-419"/>
        </w:rPr>
      </w:pPr>
    </w:p>
    <w:p w14:paraId="1951BCFF" w14:textId="77777777" w:rsidR="00F16909" w:rsidRDefault="00F16909" w:rsidP="00F16909">
      <w:pPr>
        <w:rPr>
          <w:lang w:val="es-419" w:eastAsia="es-419"/>
        </w:rPr>
      </w:pPr>
    </w:p>
    <w:p w14:paraId="0B5864C6" w14:textId="77777777" w:rsidR="00F16909" w:rsidRDefault="00F16909" w:rsidP="00F16909">
      <w:pPr>
        <w:rPr>
          <w:lang w:val="es-419" w:eastAsia="es-419"/>
        </w:rPr>
      </w:pPr>
    </w:p>
    <w:p w14:paraId="0D05C9BA" w14:textId="77777777" w:rsidR="00F16909" w:rsidRDefault="00F16909" w:rsidP="00F16909">
      <w:pPr>
        <w:rPr>
          <w:lang w:val="es-419" w:eastAsia="es-419"/>
        </w:rPr>
      </w:pPr>
    </w:p>
    <w:p w14:paraId="327F1CDC" w14:textId="77777777" w:rsidR="00F16909" w:rsidRDefault="00F16909" w:rsidP="00F16909">
      <w:pPr>
        <w:rPr>
          <w:lang w:val="es-419" w:eastAsia="es-419"/>
        </w:rPr>
      </w:pPr>
    </w:p>
    <w:p w14:paraId="391155C3" w14:textId="77777777" w:rsidR="00F16909" w:rsidRPr="00F16909" w:rsidRDefault="00F16909" w:rsidP="00F16909">
      <w:pPr>
        <w:tabs>
          <w:tab w:val="center" w:pos="4277"/>
        </w:tabs>
        <w:rPr>
          <w:lang w:val="es-419" w:eastAsia="es-419"/>
        </w:rPr>
      </w:pPr>
    </w:p>
    <w:p w14:paraId="0E427664" w14:textId="74D415B5" w:rsidR="10550309" w:rsidRDefault="10550309">
      <w:r>
        <w:br w:type="page"/>
      </w:r>
    </w:p>
    <w:p w14:paraId="3460F3C5" w14:textId="778C684A" w:rsidR="4865AB47" w:rsidRDefault="4865AB47" w:rsidP="10550309">
      <w:pPr>
        <w:pStyle w:val="Prrafodelista"/>
        <w:tabs>
          <w:tab w:val="center" w:pos="4277"/>
        </w:tabs>
        <w:jc w:val="center"/>
        <w:rPr>
          <w:rFonts w:ascii="Arial" w:eastAsia="Arial" w:hAnsi="Arial" w:cs="Arial"/>
          <w:b/>
          <w:bCs/>
          <w:sz w:val="24"/>
          <w:szCs w:val="24"/>
          <w:lang w:val="es-419" w:eastAsia="es-419"/>
        </w:rPr>
        <w:sectPr w:rsidR="4865AB47" w:rsidSect="00F16909">
          <w:headerReference w:type="default" r:id="rId15"/>
          <w:footerReference w:type="default" r:id="rId16"/>
          <w:pgSz w:w="12240" w:h="15840" w:code="1"/>
          <w:pgMar w:top="1418" w:right="1418" w:bottom="1418" w:left="1418" w:header="709" w:footer="709" w:gutter="0"/>
          <w:pgNumType w:fmt="lowerRoman"/>
          <w:cols w:space="708"/>
          <w:docGrid w:linePitch="360"/>
        </w:sectPr>
      </w:pPr>
      <w:r w:rsidRPr="10550309">
        <w:rPr>
          <w:rFonts w:ascii="Arial" w:eastAsia="Arial" w:hAnsi="Arial" w:cs="Arial"/>
          <w:b/>
          <w:bCs/>
          <w:sz w:val="24"/>
          <w:szCs w:val="24"/>
          <w:lang w:val="es-419" w:eastAsia="es-419"/>
        </w:rPr>
        <w:lastRenderedPageBreak/>
        <w:t>ÍNDICE DE FIGURAS</w:t>
      </w:r>
    </w:p>
    <w:p w14:paraId="6913DD7F" w14:textId="186F0E6A" w:rsidR="00F16909" w:rsidRPr="00D75149" w:rsidRDefault="13A061A7" w:rsidP="10550309">
      <w:pPr>
        <w:pStyle w:val="Ttulo"/>
        <w:jc w:val="center"/>
        <w:rPr>
          <w:rFonts w:ascii="Arial" w:eastAsia="Arial" w:hAnsi="Arial" w:cs="Arial"/>
          <w:b/>
          <w:bCs/>
          <w:sz w:val="24"/>
          <w:szCs w:val="24"/>
          <w:lang w:val="es-MX"/>
        </w:rPr>
      </w:pPr>
      <w:bookmarkStart w:id="3" w:name="_Toc188545243"/>
      <w:bookmarkStart w:id="4" w:name="_Toc234430352"/>
      <w:r w:rsidRPr="10550309">
        <w:rPr>
          <w:rFonts w:ascii="Arial" w:eastAsia="Arial" w:hAnsi="Arial" w:cs="Arial"/>
          <w:b/>
          <w:bCs/>
          <w:sz w:val="24"/>
          <w:szCs w:val="24"/>
          <w:lang w:val="es-MX"/>
        </w:rPr>
        <w:lastRenderedPageBreak/>
        <w:t>Resumen</w:t>
      </w:r>
      <w:bookmarkEnd w:id="3"/>
      <w:bookmarkEnd w:id="4"/>
    </w:p>
    <w:p w14:paraId="4743B2E3" w14:textId="1FBF8872" w:rsidR="00F16909" w:rsidRPr="009E2D71" w:rsidRDefault="00F16909" w:rsidP="00771340">
      <w:pPr>
        <w:jc w:val="center"/>
        <w:rPr>
          <w:rFonts w:ascii="Arial" w:hAnsi="Arial" w:cs="Arial"/>
          <w:b/>
          <w:bCs/>
          <w:sz w:val="24"/>
          <w:szCs w:val="24"/>
        </w:rPr>
      </w:pPr>
      <w:r w:rsidRPr="009E2D71">
        <w:rPr>
          <w:rFonts w:ascii="Arial" w:hAnsi="Arial" w:cs="Arial"/>
          <w:b/>
          <w:bCs/>
          <w:sz w:val="24"/>
          <w:szCs w:val="24"/>
        </w:rPr>
        <w:t>Abstract</w:t>
      </w:r>
    </w:p>
    <w:p w14:paraId="01E9CBFF" w14:textId="73EC4515" w:rsidR="00F16909" w:rsidRPr="009E2D71" w:rsidRDefault="00F16909" w:rsidP="00F16909">
      <w:pPr>
        <w:spacing w:line="360" w:lineRule="auto"/>
        <w:jc w:val="both"/>
        <w:rPr>
          <w:rFonts w:ascii="Arial" w:hAnsi="Arial" w:cs="Arial"/>
          <w:sz w:val="24"/>
          <w:szCs w:val="24"/>
        </w:rPr>
        <w:sectPr w:rsidR="00F16909" w:rsidRPr="009E2D71" w:rsidSect="00D211EB">
          <w:headerReference w:type="default" r:id="rId17"/>
          <w:footerReference w:type="default" r:id="rId18"/>
          <w:pgSz w:w="12240" w:h="15840" w:code="1"/>
          <w:pgMar w:top="1418" w:right="1418" w:bottom="1418" w:left="1418" w:header="709" w:footer="709" w:gutter="0"/>
          <w:pgNumType w:fmt="lowerRoman"/>
          <w:cols w:space="708"/>
          <w:docGrid w:linePitch="360"/>
        </w:sectPr>
      </w:pPr>
    </w:p>
    <w:p w14:paraId="487872C1" w14:textId="77777777" w:rsidR="008B6769" w:rsidRPr="009E2D71" w:rsidRDefault="008B6769" w:rsidP="00F51A6B">
      <w:pPr>
        <w:rPr>
          <w:rFonts w:ascii="Arial" w:hAnsi="Arial" w:cs="Arial"/>
          <w:sz w:val="24"/>
          <w:szCs w:val="24"/>
        </w:rPr>
      </w:pPr>
    </w:p>
    <w:p w14:paraId="3F173BE5" w14:textId="2BF6D62E" w:rsidR="001E3629" w:rsidRDefault="4B46B525" w:rsidP="008163BE">
      <w:pPr>
        <w:pStyle w:val="Ttulo1"/>
      </w:pPr>
      <w:bookmarkStart w:id="5" w:name="_Toc234430353"/>
      <w:bookmarkStart w:id="6" w:name="_Toc234959463"/>
      <w:r>
        <w:t xml:space="preserve">Capítulo I: Antecedentes y </w:t>
      </w:r>
      <w:r w:rsidR="001E3629">
        <w:t>M</w:t>
      </w:r>
      <w:r>
        <w:t xml:space="preserve">arco </w:t>
      </w:r>
      <w:r w:rsidR="001E3629">
        <w:t>T</w:t>
      </w:r>
      <w:r>
        <w:t>eórico</w:t>
      </w:r>
      <w:bookmarkEnd w:id="5"/>
      <w:bookmarkEnd w:id="6"/>
    </w:p>
    <w:p w14:paraId="0A9466C2" w14:textId="77777777" w:rsidR="008163BE" w:rsidRPr="008163BE" w:rsidRDefault="008163BE" w:rsidP="008163BE"/>
    <w:p w14:paraId="33C8A448" w14:textId="7917B0E6" w:rsidR="001E3629" w:rsidRPr="001E3629" w:rsidRDefault="4B46B525" w:rsidP="001E3629">
      <w:pPr>
        <w:pStyle w:val="Ttulo2"/>
      </w:pPr>
      <w:bookmarkStart w:id="13" w:name="_Toc234959465"/>
      <w:bookmarkStart w:id="14" w:name="_Toc234430355"/>
      <w:bookmarkEnd w:id="13"/>
      <w:bookmarkEnd w:id="14"/>
      <w:r>
        <w:t>1.1 Atención Primaria de Salud y CESFAM Villa Nonguén</w:t>
      </w:r>
    </w:p>
    <w:p w14:paraId="63B05F8D" w14:textId="4E0BD222" w:rsidR="000E1F30" w:rsidRDefault="7F07F010">
      <w:pPr>
        <w:spacing w:after="120" w:line="360" w:lineRule="auto"/>
        <w:jc w:val="both"/>
      </w:pPr>
      <w:commentRangeStart w:id="9"/>
      <w:commentRangeEnd w:id="9"/>
      <w:commentRangeStart w:id="10"/>
      <w:commentRangeEnd w:id="10"/>
      <w:r>
        <w:t>El Centro de Salud Familiar (CESFAM) Villa Nonguén es un establecimiento de la Atención Primaria de Salud (APS) ubicado en el sector de Nonguén,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Atención Farmacéutica, y con un equipo permanente de cuatro técnicos en enfermería de nivel superior. Dentro del Programa de Salud Cardiovascular, el Químico Farmacéutico ya participa en la atención de los usuarios, tanto en box como en visitas domiciliarias, y realiza tareas de seguimiento, educación y revisión de la medicación.</w:t>
      </w:r>
    </w:p>
    <w:p w14:paraId="33C8A448" w14:textId="7917B0E6" w:rsidR="001E3629" w:rsidRPr="001E3629" w:rsidRDefault="4B46B525" w:rsidP="001E3629">
      <w:pPr>
        <w:pStyle w:val="Ttulo2"/>
      </w:pPr>
      <w:bookmarkStart w:id="13" w:name="_Toc234959465"/>
      <w:bookmarkStart w:id="14" w:name="_Toc234430355"/>
      <w:bookmarkEnd w:id="13"/>
      <w:bookmarkEnd w:id="14"/>
      <w:r>
        <w:t>1.2 Programa de Salud Cardiovascular</w:t>
      </w:r>
    </w:p>
    <w:p w14:paraId="63B05F8D" w14:textId="4E0BD222" w:rsidR="000E1F30" w:rsidRDefault="7F07F010">
      <w:pPr>
        <w:spacing w:after="120" w:line="360" w:lineRule="auto"/>
        <w:jc w:val="both"/>
      </w:pPr>
      <w:commentRangeStart w:id="9"/>
      <w:commentRangeEnd w:id="9"/>
      <w:commentRangeStart w:id="10"/>
      <w:commentRangeEnd w:id="10"/>
      <w:r>
        <w:t>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 en esa tarea la Atención Primaria, a través del Programa de Salud Cardiovascular, cumple un papel central al pesquisar, clasificar y seguir a los pacientes.</w:t>
      </w:r>
    </w:p>
    <w:p w14:paraId="33C8A448" w14:textId="7917B0E6" w:rsidR="001E3629" w:rsidRPr="001E3629" w:rsidRDefault="4B46B525" w:rsidP="001E3629">
      <w:pPr>
        <w:pStyle w:val="Ttulo2"/>
      </w:pPr>
      <w:bookmarkStart w:id="13" w:name="_Toc234959465"/>
      <w:bookmarkStart w:id="14" w:name="_Toc234430355"/>
      <w:bookmarkEnd w:id="13"/>
      <w:bookmarkEnd w:id="14"/>
      <w:r>
        <w:t>1.3 Atención Farmacéutica</w:t>
      </w:r>
    </w:p>
    <w:p w14:paraId="63B05F8D" w14:textId="4E0BD222" w:rsidR="000E1F30" w:rsidRDefault="7F07F010">
      <w:pPr>
        <w:spacing w:after="120" w:line="360" w:lineRule="auto"/>
        <w:jc w:val="both"/>
      </w:pPr>
      <w:commentRangeStart w:id="9"/>
      <w:commentRangeEnd w:id="9"/>
      <w:commentRangeStart w:id="10"/>
      <w:commentRangeEnd w:id="10"/>
      <w:r>
        <w:t>La Atención Farmacéutica se entiende hoy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Esto supone un cambio respecto del modelo clásico, centrado en entregar el medicamento, hacia otro que se preocupa de lo que ocurre con ese medicamento una vez que el paciente lo lleva a su casa.</w:t>
      </w:r>
    </w:p>
    <w:p w14:paraId="33C8A448" w14:textId="7917B0E6" w:rsidR="001E3629" w:rsidRPr="001E3629" w:rsidRDefault="4B46B525" w:rsidP="001E3629">
      <w:pPr>
        <w:pStyle w:val="Ttulo2"/>
      </w:pPr>
      <w:bookmarkStart w:id="13" w:name="_Toc234959465"/>
      <w:bookmarkStart w:id="14" w:name="_Toc234430355"/>
      <w:bookmarkEnd w:id="13"/>
      <w:bookmarkEnd w:id="14"/>
      <w:r>
        <w:t>1.4 Rol del Químico Farmacéutico en la Atención Primaria</w:t>
      </w:r>
    </w:p>
    <w:p w14:paraId="63B05F8D" w14:textId="4E0BD222" w:rsidR="000E1F30" w:rsidRDefault="7F07F010">
      <w:pPr>
        <w:spacing w:after="120" w:line="360" w:lineRule="auto"/>
        <w:jc w:val="both"/>
      </w:pPr>
      <w:commentRangeStart w:id="9"/>
      <w:commentRangeEnd w:id="9"/>
      <w:commentRangeStart w:id="10"/>
      <w:commentRangeEnd w:id="10"/>
      <w:r>
        <w:t>En la Atención Primaria chilena la incorporación del Químico Farmacéutico a los equipos ha sido un avance, pero todavía falta un método claro y compartido para guiar y evaluar su trabajo clínico en el domicilio. Sin ese método, cada profesional organiza la visita de acuerdo con su criterio, los resultados se vuelven difíciles de comparar y el aporte del farmacéutico queda poco visible para el resto del equipo.</w:t>
      </w:r>
    </w:p>
    <w:p w14:paraId="33C8A448" w14:textId="7917B0E6" w:rsidR="001E3629" w:rsidRPr="001E3629" w:rsidRDefault="4B46B525" w:rsidP="001E3629">
      <w:pPr>
        <w:pStyle w:val="Ttulo2"/>
      </w:pPr>
      <w:bookmarkStart w:id="13" w:name="_Toc234959465"/>
      <w:bookmarkStart w:id="14" w:name="_Toc234430355"/>
      <w:bookmarkEnd w:id="13"/>
      <w:bookmarkEnd w:id="14"/>
      <w:r>
        <w:t>1.5 Atención Farmacéutica domiciliaria</w:t>
      </w:r>
    </w:p>
    <w:p w14:paraId="63B05F8D" w14:textId="4E0BD222" w:rsidR="000E1F30" w:rsidRDefault="7F07F010">
      <w:pPr>
        <w:spacing w:after="120" w:line="360" w:lineRule="auto"/>
        <w:jc w:val="both"/>
      </w:pPr>
      <w:commentRangeStart w:id="9"/>
      <w:commentRangeEnd w:id="9"/>
      <w:commentRangeStart w:id="10"/>
      <w:commentRangeEnd w:id="10"/>
      <w:r>
        <w:t>Más allá del recorrido y de los tipos de visita, conviene detenerse en el valor que aporta atender al paciente en su propio domicilio. La Atención Farmacéutica es una labor compleja, porque el paciente entrega información personal al Químico Farmacéutico, lo que exige del profesional habilidades de comunicación para generar un vínculo y la confianza necesarios para reunir todo lo que se requiere, tanto la farmacoterapia, como los problemas que la propia persona reconoce y así intervenir de forma adecuada. Si bien, la visita domiciliaria demanda más recursos que la atención en box, como el traslado y un mayor tiempo por los desplazamientos, ofrece una ventaja clara para abordar los tres pilares del Modelo CMO.</w:t>
      </w:r>
    </w:p>
    <w:p w14:paraId="63B05F8D" w14:textId="4E0BD222" w:rsidR="000E1F30" w:rsidRDefault="7F07F010">
      <w:pPr>
        <w:spacing w:after="120" w:line="360" w:lineRule="auto"/>
        <w:jc w:val="both"/>
      </w:pPr>
      <w:commentRangeStart w:id="9"/>
      <w:commentRangeEnd w:id="9"/>
      <w:commentRangeStart w:id="10"/>
      <w:commentRangeEnd w:id="10"/>
      <w:r>
        <w:t>En cuanto a la Capacidad, estar en el hogar permite observar el entorno real del paciente: cómo y con quién vive, si cuenta con el apoyo de un familiar o un vecino. Esa información no está disponible en una atención de box y resulta valiosa para entender cómo usa realmente sus medicamentos. Además, la visita domiciliaria permite identificar los medicamentos que el paciente almacena en diferentes espacios del hogar o adquiridos por iniciativa propia, los cuales el paciente omite al momento de una consulta o control convencional, esta información adicional enriquece la conciliación farmacéutica y mejora las decisiones que se toman sobre la farmacoterapia.</w:t>
      </w:r>
    </w:p>
    <w:p w14:paraId="63B05F8D" w14:textId="4E0BD222" w:rsidR="000E1F30" w:rsidRDefault="7F07F010">
      <w:pPr>
        <w:spacing w:after="120" w:line="360" w:lineRule="auto"/>
        <w:jc w:val="both"/>
      </w:pPr>
      <w:commentRangeStart w:id="9"/>
      <w:commentRangeEnd w:id="9"/>
      <w:commentRangeStart w:id="10"/>
      <w:commentRangeEnd w:id="10"/>
      <w:r>
        <w:t>En cuanto a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 racional de los medicamentos. En el fondo, un paciente que sigue su tratamiento lo hace porque quiere cuidar su salud, espera mejorar sus patologías, y reconocer esa disposición ayuda a reforzarla durante la entrevista.</w:t>
      </w:r>
    </w:p>
    <w:p w14:paraId="63B05F8D" w14:textId="4E0BD222" w:rsidR="000E1F30" w:rsidRDefault="7F07F010">
      <w:pPr>
        <w:spacing w:after="120" w:line="360" w:lineRule="auto"/>
        <w:jc w:val="both"/>
      </w:pPr>
      <w:commentRangeStart w:id="9"/>
      <w:commentRangeEnd w:id="9"/>
      <w:commentRangeStart w:id="10"/>
      <w:commentRangeEnd w:id="10"/>
      <w:r>
        <w:t>Finalmente, en cuanto a la Oportunidad, la visita al domicilio favorece un vínculo más cercano: al encontrarse en un espacio seguro, el paciente tiende a abrirse y a compartir más información, y gana confianza para preguntar y aclarar sus dudas. Esta intervención constituye una oportunidad para recalcar el rol del Químico Farmacéutico e incentivar a acercarse a la farmacia o a comunicarse por vía telefónica cuando lo necesite. Sentirse acompañado a lo largo del tratamiento mejora el ánimo de los pacientes y los motiva a mantener su farmacoterapia.</w:t>
      </w:r>
    </w:p>
    <w:p w14:paraId="33C8A448" w14:textId="7917B0E6" w:rsidR="001E3629" w:rsidRPr="001E3629" w:rsidRDefault="4B46B525" w:rsidP="001E3629">
      <w:pPr>
        <w:pStyle w:val="Ttulo2"/>
      </w:pPr>
      <w:bookmarkStart w:id="13" w:name="_Toc234959465"/>
      <w:bookmarkStart w:id="14" w:name="_Toc234430355"/>
      <w:bookmarkEnd w:id="13"/>
      <w:bookmarkEnd w:id="14"/>
      <w:r>
        <w:t>1.6 Adherencia, polifarmacia y problemas relacionados con los medicamentos</w:t>
      </w:r>
    </w:p>
    <w:p w14:paraId="63B05F8D" w14:textId="4E0BD222" w:rsidR="000E1F30" w:rsidRDefault="7F07F010">
      <w:pPr>
        <w:spacing w:after="120" w:line="360" w:lineRule="auto"/>
        <w:jc w:val="both"/>
      </w:pPr>
      <w:commentRangeStart w:id="9"/>
      <w:commentRangeEnd w:id="9"/>
      <w:commentRangeStart w:id="10"/>
      <w:commentRangeEnd w:id="10"/>
      <w:r>
        <w:t>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Martín Alfonso, 2004; Morales &amp; Estela, 2015). En los usuarios que además dependen de otros o tienen dificultades para llegar al centro, la visita domiciliaria pasa a ser la mejor oportunidad para revisar la terapia, resolver dudas y reforzar la adherencia.</w:t>
      </w:r>
    </w:p>
    <w:p w14:paraId="63B05F8D" w14:textId="4E0BD222" w:rsidR="000E1F30" w:rsidRDefault="7F07F010">
      <w:pPr>
        <w:spacing w:after="120" w:line="360" w:lineRule="auto"/>
        <w:jc w:val="both"/>
      </w:pPr>
      <w:commentRangeStart w:id="9"/>
      <w:commentRangeEnd w:id="9"/>
      <w:commentRangeStart w:id="10"/>
      <w:commentRangeEnd w:id="10"/>
      <w:r>
        <w:t>La dificultad es mayor en los pacientes que toman muchos medicamentos, tienen problemas sociales o presentan condiciones propias de la edad, en quienes la adherencia es más frágil (Manzano García &amp; Morillo Verdugo, 2018).</w:t>
      </w:r>
    </w:p>
    <w:p w14:paraId="33C8A448" w14:textId="7917B0E6" w:rsidR="001E3629" w:rsidRPr="001E3629" w:rsidRDefault="4B46B525" w:rsidP="001E3629">
      <w:pPr>
        <w:pStyle w:val="Ttulo2"/>
      </w:pPr>
      <w:bookmarkStart w:id="13" w:name="_Toc234959465"/>
      <w:bookmarkStart w:id="14" w:name="_Toc234430355"/>
      <w:bookmarkEnd w:id="13"/>
      <w:bookmarkEnd w:id="14"/>
      <w:r>
        <w:t>1.7 Métodos de seguimiento farmacoterapéutico</w:t>
      </w:r>
    </w:p>
    <w:p w14:paraId="63B05F8D" w14:textId="4E0BD222" w:rsidR="000E1F30" w:rsidRDefault="7F07F010">
      <w:pPr>
        <w:spacing w:after="120" w:line="360" w:lineRule="auto"/>
        <w:jc w:val="both"/>
      </w:pPr>
      <w:commentRangeStart w:id="9"/>
      <w:commentRangeEnd w:id="9"/>
      <w:commentRangeStart w:id="10"/>
      <w:commentRangeEnd w:id="10"/>
      <w:r>
        <w:t>La forma de realizar una Atención Farmacéutica ha cambiado bastante en las últimas décadas. Al comienzo el trabajo giraba en torno al medicamento y al control del gasto, con poca estructura (Calleja Hernández &amp; Morillo Verdugo, 2016). A medida que la población envejeció y aparecieron más pacientes con varias enfermedades a la vez, ese enfoque resultó insuficiente. Para ordenar el seguimiento surgieron métodos como el Dáder y, en Chile, el POLARIS, que ofrecen una manera sistemática de detectar los problemas relacionados con los medicamentos (PRM) y los resultados negativos asociados a la medicación (RNM) (Plaza, 2018; Ministerio de Salud de Chile, 2018a, 2019). Para clasificar estos problemas se suele recurrir al Tercer Consenso de Granada, que ordena los RNM según, si el tratamiento es necesario, efectivo y seguro (Comité de Consenso de Granada, 2007). Estos métodos expuestos aportaron rigor, aunque llevarlos por completo a la Atención Primaria ha sido difícil, sobre todo en la parte conductual y en la logística de la visita a domicilio.</w:t>
      </w:r>
    </w:p>
    <w:p w14:paraId="33C8A448" w14:textId="7917B0E6" w:rsidR="001E3629" w:rsidRPr="001E3629" w:rsidRDefault="4B46B525" w:rsidP="001E3629">
      <w:pPr>
        <w:pStyle w:val="Ttulo2"/>
      </w:pPr>
      <w:bookmarkStart w:id="13" w:name="_Toc234959465"/>
      <w:bookmarkStart w:id="14" w:name="_Toc234430355"/>
      <w:bookmarkEnd w:id="13"/>
      <w:bookmarkEnd w:id="14"/>
      <w:r>
        <w:t>1.8 Modelo CMO</w:t>
      </w:r>
    </w:p>
    <w:p w14:paraId="63B05F8D" w14:textId="4E0BD222" w:rsidR="000E1F30" w:rsidRDefault="7F07F010">
      <w:pPr>
        <w:spacing w:after="120" w:line="360" w:lineRule="auto"/>
        <w:jc w:val="both"/>
      </w:pPr>
      <w:commentRangeStart w:id="9"/>
      <w:commentRangeEnd w:id="9"/>
      <w:commentRangeStart w:id="10"/>
      <w:commentRangeEnd w:id="10"/>
      <w:r>
        <w:t>Sobre esa base, el marco que hoy se usa como referencia para modernizar la Atención Farmacéutica es el Modelo CMO Capacidad, Motivación y Oportunidad, desarrollado en España y validado por su sociedad de farmacia hospitalaria (Calleja Hernández &amp; Morillo Verdugo, 2016). Su valor está en ordenar la atención en torno a tres ideas sencillas que se pueden llevar al domicilio del paciente; además, investigaciones recientes han aplicado este modelo en patologías de alta complejidad, como las coagulopatías congénitas (Juárez Giménez &amp; Morillo Verdugo, 2026), evidenciando su versatilidad clínica y su capacidad de adaptación a distintos contextos sociosanitarios.</w:t>
      </w:r>
    </w:p>
    <w:p w14:paraId="63B05F8D" w14:textId="4E0BD222" w:rsidR="000E1F30" w:rsidRDefault="7F07F010">
      <w:pPr>
        <w:spacing w:after="120" w:line="360" w:lineRule="auto"/>
        <w:jc w:val="both"/>
      </w:pPr>
      <w:commentRangeStart w:id="9"/>
      <w:commentRangeEnd w:id="9"/>
      <w:commentRangeStart w:id="10"/>
      <w:commentRangeEnd w:id="10"/>
      <w:r>
        <w:t>La Capacidad tiene directa relación con priorizar, en lugar de atender a todos por igual, propone concentrar el tiempo en los pacientes que más lo necesitan, usando criterios de riesgo y de complejidad para decidir a quién visitar primero (Manzano García &amp; Morillo Verdugo, 2018). La Motivación se centra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Por último, la 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33C8A448" w14:textId="7917B0E6" w:rsidR="001E3629" w:rsidRPr="001E3629" w:rsidRDefault="4B46B525" w:rsidP="001E3629">
      <w:pPr>
        <w:pStyle w:val="Ttulo2"/>
      </w:pPr>
      <w:bookmarkStart w:id="13" w:name="_Toc234959465"/>
      <w:bookmarkStart w:id="14" w:name="_Toc234430355"/>
      <w:bookmarkEnd w:id="13"/>
      <w:bookmarkEnd w:id="14"/>
      <w:r>
        <w:t>1.9 Aplicación del Modelo CMO en el CESFAM Villa Nonguén</w:t>
      </w:r>
    </w:p>
    <w:p w14:paraId="63B05F8D" w14:textId="4E0BD222" w:rsidR="000E1F30" w:rsidRDefault="7F07F010">
      <w:pPr>
        <w:spacing w:after="120" w:line="360" w:lineRule="auto"/>
        <w:jc w:val="both"/>
      </w:pPr>
      <w:commentRangeStart w:id="9"/>
      <w:commentRangeEnd w:id="9"/>
      <w:commentRangeStart w:id="10"/>
      <w:commentRangeEnd w:id="10"/>
      <w:r>
        <w:t>El protocolo abarca el seguimiento farmacoterapéutico en el domicilio de los pacientes crónicos del Programa de Salud Cardiovascular, desde que se planifica la visita hasta que se registra lo realizado en la ficha clínica. La idea principal es traducir los tres pilares del Modelo CMO en pasos concretos: a quién priorizar, cómo abordar la adherencia durante la entrevista y cómo dar continuidad al seguimiento fuera del box.</w:t>
      </w:r>
    </w:p>
    <w:p w14:paraId="63B05F8D" w14:textId="4E0BD222" w:rsidR="000E1F30" w:rsidRDefault="7F07F010">
      <w:pPr>
        <w:spacing w:after="120" w:line="360" w:lineRule="auto"/>
        <w:jc w:val="both"/>
      </w:pPr>
      <w:commentRangeStart w:id="9"/>
      <w:commentRangeEnd w:id="9"/>
      <w:commentRangeStart w:id="10"/>
      <w:commentRangeEnd w:id="10"/>
      <w:r>
        <w:t>En la práctica, funciona como una guía para las tareas habituales del Químico Farmacéutico en el CESFAM: revisar el botiquín del hogar, conciliar la medicación que el paciente realmente toma con la que tiene indicada (Delgado et al., 2007) y educar de forma adaptada a cada persona. Al dejar estas tareas ordenadas en un flujograma se reduce la variabilidad entre profesionales y se facilita que el resto del equipo entienda qué hace el farmacéutico y con qué fin. El protocolo también incorpora criterios para clasificar los RNM y la gravedad de los errores de medicación, tomando como referencia el Consenso de Granada y el esquema del National Coordinating Council for Medication Error Reporting and Prevention (Forrey, Pedersen &amp; Schneider, 2007), lo que ayuda a derivar a tiempo y a fundamentar las interconsultas al médico tratante.</w:t>
      </w:r>
    </w:p>
    <w:p w14:paraId="63B05F8D" w14:textId="4E0BD222" w:rsidR="000E1F30" w:rsidRDefault="7F07F010">
      <w:pPr>
        <w:spacing w:after="120" w:line="360" w:lineRule="auto"/>
        <w:jc w:val="both"/>
      </w:pPr>
      <w:commentRangeStart w:id="9"/>
      <w:commentRangeEnd w:id="9"/>
      <w:commentRangeStart w:id="10"/>
      <w:commentRangeEnd w:id="10"/>
      <w:r>
        <w:t>La magnitud de esa necesidad había quedado documentada en el mismo centro. Una memoria anterior, que evaluó el programa de Atención Farmacéutica siguiendo a veinte usuarios, encontró que todos tenían al menos un problema relacionado con sus medicamentos y que solo el 15% era adherente al inicio del seguimiento, cifra que mejoró de manera importante tras la intervención del farmacéutico (Faúndez Navarrete, 2020). Ese resultado deja ver dos cosas: que el trabajo farmacéutico en terreno sí influye en los pacientes y que hasta ahora se ha hecho de una forma valiosa, pero poco sistematizada. De lo antes expuesto, surge la idea de esta memoria, cuyo objetivo es ordenar la labor en un protocolo que pueda repetirse y evaluarse.</w:t>
      </w:r>
    </w:p>
    <w:p w14:paraId="33C8A448" w14:textId="7917B0E6" w:rsidR="001E3629" w:rsidRPr="001E3629" w:rsidRDefault="4B46B525" w:rsidP="001E3629">
      <w:pPr>
        <w:pStyle w:val="Ttulo2"/>
      </w:pPr>
      <w:bookmarkStart w:id="13" w:name="_Toc234959465"/>
      <w:bookmarkStart w:id="14" w:name="_Toc234430355"/>
      <w:bookmarkEnd w:id="13"/>
      <w:bookmarkEnd w:id="14"/>
      <w:r>
        <w:t>1.10 Justificación y planteamiento del problema</w:t>
      </w:r>
    </w:p>
    <w:p w14:paraId="63B05F8D" w14:textId="4E0BD222" w:rsidR="000E1F30" w:rsidRDefault="7F07F010">
      <w:pPr>
        <w:spacing w:after="120" w:line="360" w:lineRule="auto"/>
        <w:jc w:val="both"/>
      </w:pPr>
      <w:commentRangeStart w:id="9"/>
      <w:commentRangeEnd w:id="9"/>
      <w:commentRangeStart w:id="10"/>
      <w:commentRangeEnd w:id="10"/>
      <w:r>
        <w:t>Las razones de contar con este protocolo son epidemiológicas y de gestión. A la carga de las enfermedades cardiovasculares se suma un motivo de gestión: ordenar la atención ayuda a aprovechar mejor el Fondo de Farmacia (FOFAR), que financia la presencia del Químico Farmacéutico en la Atención Primaria y el acceso a los medicamentos para la hipertensión, la diabetes y la dislipidemia (Ministerio de Salud de Chile, 2018b, 2020).</w:t>
      </w:r>
    </w:p>
    <w:p w14:paraId="63B05F8D" w14:textId="4E0BD222" w:rsidR="000E1F30" w:rsidRDefault="7F07F010">
      <w:pPr>
        <w:spacing w:after="120" w:line="360" w:lineRule="auto"/>
        <w:jc w:val="both"/>
      </w:pPr>
      <w:commentRangeStart w:id="9"/>
      <w:commentRangeEnd w:id="9"/>
      <w:commentRangeStart w:id="10"/>
      <w:commentRangeEnd w:id="10"/>
      <w:r>
        <w:t>Dado lo anterior, este trabajo propone un protocolo que estructure la entrevista, ayude a detectar a tiempo los problemas relacionados con los medicamentos y ordene el registro de lo realizado. La visita a domicilio consume bastante tiempo, por lo que conviene aprovechar bien cada instancia.</w:t>
      </w:r>
    </w:p>
    <w:p w14:paraId="63B05F8D" w14:textId="4E0BD222" w:rsidR="000E1F30" w:rsidRDefault="7F07F010">
      <w:pPr>
        <w:spacing w:after="120" w:line="360" w:lineRule="auto"/>
        <w:jc w:val="both"/>
      </w:pPr>
      <w:commentRangeStart w:id="9"/>
      <w:commentRangeEnd w:id="9"/>
      <w:commentRangeStart w:id="10"/>
      <w:commentRangeEnd w:id="10"/>
      <w:r>
        <w:t>El problema detectado es que esas visitas se llevan a cabo sin un procedimiento escrito y estandarizado que las respalde. Actualmente la atención ingresa por derivación y se prioriza a los pacientes más descompensados, y el Químico Farmacéutico, que cuenta con la formación necesaria para conducir la entrevista, deja constancia de lo realizado en la ficha clínica y en hojas de apoyo. Cabe considerar que lo que falta no es el criterio ni el registro, sino un documento común que ordene la priorización de los pacientes, la forma de conducir la visita y el registro de la atención, de modo que el trabajo sea trazable, comparable entre profesionales y posible de evaluar en el tiempo.</w:t>
      </w:r>
    </w:p>
    <w:p w14:paraId="33C8A448" w14:textId="7917B0E6" w:rsidR="001E3629" w:rsidRPr="001E3629" w:rsidRDefault="4B46B525" w:rsidP="001E3629">
      <w:pPr>
        <w:pStyle w:val="Ttulo2"/>
      </w:pPr>
      <w:bookmarkStart w:id="13" w:name="_Toc234959465"/>
      <w:bookmarkStart w:id="14" w:name="_Toc234430355"/>
      <w:bookmarkEnd w:id="13"/>
      <w:bookmarkEnd w:id="14"/>
      <w:r>
        <w:t>1.11 Delimitación del problema</w:t>
      </w:r>
    </w:p>
    <w:p w14:paraId="63B05F8D" w14:textId="4E0BD222" w:rsidR="000E1F30" w:rsidRDefault="7F07F010">
      <w:pPr>
        <w:spacing w:after="120" w:line="360" w:lineRule="auto"/>
        <w:jc w:val="both"/>
      </w:pPr>
      <w:commentRangeStart w:id="9"/>
      <w:commentRangeEnd w:id="9"/>
      <w:commentRangeStart w:id="10"/>
      <w:commentRangeEnd w:id="10"/>
      <w:r>
        <w:t>El trabajo se acota a un contexto concreto para que el protocolo sea directamente aplicable. En lo territorial, se circunscribe al CESFAM Villa Nonguén y a la población a su cargo, en la comuna de Concepción, Región del Biobío. En lo temporal, el diagnóstico de las brechas y el diseño del protocolo se realizaron durante el periodo de internado, de cuatro meses. En lo poblacional, se orienta a personas adultas y mayores del Programa de Salud Cardiovascular, con prioridad en quienes están descompensados, toman muchos medicamentos, dependen de un cuidador o tienen dificultades para acudir con regularidad al centro de salud.</w:t>
      </w:r>
    </w:p>
    <w:p w14:paraId="33C8A448" w14:textId="7917B0E6" w:rsidR="001E3629" w:rsidRPr="001E3629" w:rsidRDefault="4B46B525" w:rsidP="001E3629">
      <w:pPr>
        <w:pStyle w:val="Ttulo2"/>
      </w:pPr>
      <w:bookmarkStart w:id="13" w:name="_Toc234959465"/>
      <w:bookmarkStart w:id="14" w:name="_Toc234430355"/>
      <w:bookmarkEnd w:id="13"/>
      <w:bookmarkEnd w:id="14"/>
      <w:r>
        <w:t>1.12 Pregunta de investigación</w:t>
      </w:r>
    </w:p>
    <w:p w14:paraId="63B05F8D" w14:textId="4E0BD222" w:rsidR="000E1F30" w:rsidRDefault="7F07F010">
      <w:pPr>
        <w:spacing w:after="120" w:line="360" w:lineRule="auto"/>
        <w:jc w:val="both"/>
      </w:pPr>
      <w:commentRangeStart w:id="9"/>
      <w:commentRangeEnd w:id="9"/>
      <w:commentRangeStart w:id="10"/>
      <w:commentRangeEnd w:id="10"/>
      <w:r>
        <w:t>¿Puede el diseño de un protocolo de Atención Farmacéutica domiciliaria basado en el Modelo CMO ordenar y hacer más trazable el seguimiento farmacoterapéutico de los pacientes adultos y mayores del Programa de Salud Cardiovascular del CESFAM Villa Nonguén, frente a la práctica actual no protocolizada?</w:t>
      </w:r>
    </w:p>
    <w:p w14:paraId="4A66F24F" w14:textId="7F4421DB" w:rsidR="001E3629" w:rsidRPr="001E3629" w:rsidRDefault="4B46B525" w:rsidP="001E3629">
      <w:pPr>
        <w:pStyle w:val="Ttulo2"/>
      </w:pPr>
      <w:bookmarkStart w:id="26" w:name="_Toc234959470"/>
      <w:bookmarkEnd w:id="25"/>
      <w:bookmarkEnd w:id="26"/>
      <w:r>
        <w:t>1.13 Objetivos</w:t>
      </w:r>
    </w:p>
    <w:p w14:paraId="290C480F" w14:textId="1B78E26B" w:rsidR="000E1F30" w:rsidRDefault="006031D9">
      <w:pPr>
        <w:spacing w:after="120" w:line="360" w:lineRule="auto"/>
        <w:jc w:val="both"/>
      </w:pPr>
      <w:r>
        <w:t>Objetivo general. Diseñar un protocolo de Atención Farmacéutica domiciliaria basado en el Modelo CMO para los pacientes del Programa de Salud Cardiovascular del CESFAM Villa Nonguén.</w:t>
      </w:r>
    </w:p>
    <w:p w14:paraId="78E49633" w14:textId="77777777" w:rsidR="000E1F30" w:rsidRDefault="006031D9">
      <w:pPr>
        <w:spacing w:after="120" w:line="360" w:lineRule="auto"/>
        <w:jc w:val="both"/>
      </w:pPr>
      <w:r>
        <w:rPr>
          <w:rFonts w:ascii="Arial" w:eastAsia="Arial" w:hAnsi="Arial"/>
          <w:b/>
          <w:sz w:val="24"/>
        </w:rPr>
        <w:t>Objetivos específicos</w:t>
      </w:r>
    </w:p>
    <w:p w14:paraId="3BB28D46" w14:textId="77777777" w:rsidR="000E1F30" w:rsidRDefault="006031D9">
      <w:pPr>
        <w:pStyle w:val="Prrafodelista"/>
        <w:spacing w:after="80" w:line="360" w:lineRule="auto"/>
        <w:jc w:val="both"/>
      </w:pPr>
      <w:commentRangeStart w:id="27"/>
      <w:commentRangeEnd w:id="27"/>
      <w:r>
        <w:t>1.  Identificar las brechas del programa de visitas domiciliarias que se realiza actualmente en el CESFAM Villa Nonguén.</w:t>
      </w:r>
    </w:p>
    <w:p w14:paraId="1E91549B" w14:textId="77777777" w:rsidR="000E1F30" w:rsidRDefault="006031D9">
      <w:pPr>
        <w:pStyle w:val="Prrafodelista"/>
        <w:spacing w:after="80" w:line="360" w:lineRule="auto"/>
        <w:jc w:val="both"/>
      </w:pPr>
      <w:r>
        <w:rPr>
          <w:rFonts w:ascii="Arial" w:eastAsia="Arial" w:hAnsi="Arial"/>
          <w:sz w:val="24"/>
        </w:rPr>
        <w:t>2.  Definir el flujograma de la visita domiciliaria y los criterios para priorizar a los pacientes, de acuerdo con los pilares del Modelo CMO.</w:t>
      </w:r>
    </w:p>
    <w:p w14:paraId="2349C423" w14:textId="3B6D06A3" w:rsidR="000E1F30" w:rsidRDefault="006031D9" w:rsidP="009E2D71">
      <w:pPr>
        <w:pStyle w:val="Prrafodelista"/>
        <w:spacing w:after="80" w:line="360" w:lineRule="auto"/>
        <w:jc w:val="both"/>
      </w:pPr>
      <w:r>
        <w:rPr>
          <w:rFonts w:ascii="Arial" w:eastAsia="Arial" w:hAnsi="Arial"/>
          <w:sz w:val="24"/>
        </w:rPr>
        <w:t xml:space="preserve">3.  Diseñar los instrumentos y las herramientas clínicas necesarias para </w:t>
      </w:r>
      <w:commentRangeStart w:id="28"/>
      <w:r>
        <w:rPr>
          <w:rFonts w:ascii="Arial" w:eastAsia="Arial" w:hAnsi="Arial"/>
          <w:sz w:val="24"/>
        </w:rPr>
        <w:t>aplicar el protocolo</w:t>
      </w:r>
      <w:commentRangeEnd w:id="28"/>
      <w:r w:rsidR="009816EA">
        <w:rPr>
          <w:rStyle w:val="Refdecomentario"/>
          <w:rFonts w:ascii="Arial" w:eastAsia="Arial" w:hAnsi="Arial"/>
          <w:sz w:val="24"/>
          <w:szCs w:val="24"/>
        </w:rPr>
        <w:commentReference w:id="28"/>
      </w:r>
      <w:r>
        <w:rPr>
          <w:rFonts w:ascii="Arial" w:eastAsia="Arial" w:hAnsi="Arial"/>
          <w:sz w:val="24"/>
        </w:rPr>
        <w:t>, referidas a la ad</w:t>
      </w:r>
      <w:commentRangeStart w:id="29"/>
      <w:r>
        <w:rPr>
          <w:rFonts w:ascii="Arial" w:eastAsia="Arial" w:hAnsi="Arial"/>
          <w:sz w:val="24"/>
        </w:rPr>
        <w:t>he</w:t>
      </w:r>
      <w:commentRangeEnd w:id="29"/>
      <w:r w:rsidR="00DD5A9B">
        <w:rPr>
          <w:rStyle w:val="Refdecomentario"/>
          <w:rFonts w:ascii="Arial" w:eastAsia="Arial" w:hAnsi="Arial"/>
          <w:sz w:val="24"/>
          <w:szCs w:val="24"/>
        </w:rPr>
        <w:commentReference w:id="29"/>
      </w:r>
      <w:r>
        <w:rPr>
          <w:rFonts w:ascii="Arial" w:eastAsia="Arial" w:hAnsi="Arial"/>
          <w:sz w:val="24"/>
        </w:rPr>
        <w:t>rencia, a los PRM y RNM y al registro de la atención.</w:t>
      </w:r>
    </w:p>
    <w:p w14:paraId="2C2FB180" w14:textId="7AAFBAA0" w:rsidR="000E1F30" w:rsidRDefault="7E8C999B" w:rsidP="10550309">
      <w:r>
        <w:br w:type="page"/>
      </w:r>
    </w:p>
    <w:p w14:paraId="34FC9839" w14:textId="2F11E36D" w:rsidR="000E1F30" w:rsidRDefault="4B46B525">
      <w:pPr>
        <w:pStyle w:val="Ttulo1"/>
      </w:pPr>
      <w:bookmarkStart w:id="30" w:name="_Toc234430361"/>
      <w:bookmarkStart w:id="31" w:name="_Toc234959471"/>
      <w:r>
        <w:lastRenderedPageBreak/>
        <w:t>Capítulo II: Metodología</w:t>
      </w:r>
      <w:bookmarkEnd w:id="30"/>
      <w:bookmarkEnd w:id="31"/>
    </w:p>
    <w:p w14:paraId="0C27B8C7" w14:textId="77777777" w:rsidR="001E3629" w:rsidRPr="001E3629" w:rsidRDefault="001E3629" w:rsidP="001E3629"/>
    <w:p w14:paraId="156A00CF" w14:textId="3CA03467" w:rsidR="001E3629" w:rsidRPr="001E3629" w:rsidRDefault="4B46B525" w:rsidP="001E3629">
      <w:pPr>
        <w:pStyle w:val="Ttulo2"/>
      </w:pPr>
      <w:bookmarkStart w:id="32" w:name="_Toc234430362"/>
      <w:bookmarkStart w:id="33" w:name="_Toc234959472"/>
      <w:r>
        <w:t>2.1 Diseño y contexto del estudio</w:t>
      </w:r>
      <w:bookmarkEnd w:id="32"/>
      <w:bookmarkEnd w:id="33"/>
    </w:p>
    <w:p w14:paraId="6885FF86" w14:textId="04BB6782" w:rsidR="000E1F30" w:rsidRPr="00A111D6" w:rsidRDefault="006031D9">
      <w:pPr>
        <w:spacing w:after="120" w:line="360" w:lineRule="auto"/>
        <w:jc w:val="both"/>
        <w:rPr>
          <w:strike/>
        </w:rPr>
      </w:pPr>
      <w:r w:rsidRPr="00A111D6">
        <w:rPr>
          <w:rFonts w:ascii="Arial" w:eastAsia="Arial" w:hAnsi="Arial"/>
          <w:strike/>
          <w:sz w:val="24"/>
        </w:rPr>
        <w:t xml:space="preserve">Esta memoria </w:t>
      </w:r>
      <w:r w:rsidR="00FE6FA0" w:rsidRPr="00A111D6">
        <w:rPr>
          <w:rFonts w:ascii="Arial" w:eastAsia="Arial" w:hAnsi="Arial"/>
          <w:strike/>
          <w:sz w:val="24"/>
        </w:rPr>
        <w:t>comprende</w:t>
      </w:r>
      <w:r w:rsidRPr="00A111D6">
        <w:rPr>
          <w:rFonts w:ascii="Arial" w:eastAsia="Arial" w:hAnsi="Arial"/>
          <w:strike/>
          <w:sz w:val="24"/>
        </w:rPr>
        <w:t xml:space="preserve"> un trabajo de desarrollo metodológico: no se hizo un experimento ni se recogieron datos clínicos de pacientes, sino que se diseñó un protocolo a partir de la revisión de la literatura, del análisis de la normativa del Ministerio de Salud y de la adaptación de herramientas que ya se usan en la Atención Primaria. El diseño se ajustó a lo que se observó en el propio centro, para que resultara aplicable en la realidad del CESFAM.</w:t>
      </w:r>
    </w:p>
    <w:p w14:paraId="71951B43" w14:textId="3B735B25" w:rsidR="000E1F30" w:rsidRDefault="7F07F010">
      <w:pPr>
        <w:spacing w:after="120" w:line="360" w:lineRule="auto"/>
        <w:jc w:val="both"/>
      </w:pPr>
      <w:r w:rsidRPr="10550309">
        <w:rPr>
          <w:rFonts w:ascii="Arial" w:eastAsia="Arial" w:hAnsi="Arial"/>
          <w:sz w:val="24"/>
          <w:szCs w:val="24"/>
        </w:rPr>
        <w:t>El trabajo se desarrolló en el CESFAM Villa Nonguén y su territorio, en la comuna de Concepción, durante los cuatro meses del internado. En ese periodo se recopilaron los antecedentes, se hizo el diagnóstico de las brechas del programa de visitas domiciliarias</w:t>
      </w:r>
      <w:r w:rsidR="4553828A" w:rsidRPr="10550309">
        <w:rPr>
          <w:rFonts w:ascii="Arial" w:eastAsia="Arial" w:hAnsi="Arial"/>
          <w:sz w:val="24"/>
          <w:szCs w:val="24"/>
        </w:rPr>
        <w:t>,</w:t>
      </w:r>
      <w:r w:rsidRPr="10550309">
        <w:rPr>
          <w:rFonts w:ascii="Arial" w:eastAsia="Arial" w:hAnsi="Arial"/>
          <w:sz w:val="24"/>
          <w:szCs w:val="24"/>
        </w:rPr>
        <w:t xml:space="preserve"> se diseñaron el flujograma y las herramientas que componen el protocolo. Las tres secciones que siguen responden, en ese mismo orden, a cada uno de los objetivos específicos planteados.</w:t>
      </w:r>
    </w:p>
    <w:p w14:paraId="553A09D5" w14:textId="487EE107" w:rsidR="000E1F30" w:rsidRDefault="4B46B525">
      <w:pPr>
        <w:pStyle w:val="Ttulo2"/>
      </w:pPr>
      <w:bookmarkStart w:id="34" w:name="_Toc234959473"/>
      <w:bookmarkStart w:id="35" w:name="_Toc234430363"/>
      <w:r>
        <w:t>2.</w:t>
      </w:r>
      <w:commentRangeStart w:id="36"/>
      <w:commentRangeStart w:id="37"/>
      <w:commentRangeStart w:id="38"/>
      <w:r>
        <w:t>2 Diagnóstico de las brechas del programa</w:t>
      </w:r>
      <w:bookmarkEnd w:id="34"/>
      <w:r>
        <w:t xml:space="preserve"> </w:t>
      </w:r>
      <w:bookmarkEnd w:id="35"/>
      <w:commentRangeEnd w:id="36"/>
      <w:r w:rsidR="00B22C65">
        <w:rPr>
          <w:rStyle w:val="Refdecomentario"/>
          <w:sz w:val="24"/>
          <w:szCs w:val="26"/>
        </w:rPr>
        <w:commentReference w:id="36"/>
      </w:r>
      <w:commentRangeEnd w:id="37"/>
      <w:r w:rsidR="00745126">
        <w:rPr>
          <w:rStyle w:val="Refdecomentario"/>
          <w:sz w:val="24"/>
          <w:szCs w:val="26"/>
        </w:rPr>
        <w:commentReference w:id="37"/>
      </w:r>
      <w:commentRangeEnd w:id="38"/>
      <w:r w:rsidR="00745126">
        <w:rPr>
          <w:rStyle w:val="Refdecomentario"/>
          <w:sz w:val="24"/>
          <w:szCs w:val="26"/>
        </w:rPr>
        <w:commentReference w:id="38"/>
      </w:r>
    </w:p>
    <w:p w14:paraId="1B4AE88E" w14:textId="51DD064C" w:rsidR="000E1F30" w:rsidRDefault="00763D9B">
      <w:pPr>
        <w:spacing w:after="120" w:line="360" w:lineRule="auto"/>
        <w:jc w:val="both"/>
      </w:pPr>
      <w:r>
        <w:rPr>
          <w:rFonts w:ascii="Arial" w:eastAsia="Arial" w:hAnsi="Arial"/>
          <w:sz w:val="24"/>
        </w:rPr>
        <w:t>Se</w:t>
      </w:r>
      <w:r w:rsidR="006031D9">
        <w:rPr>
          <w:rFonts w:ascii="Arial" w:eastAsia="Arial" w:hAnsi="Arial"/>
          <w:sz w:val="24"/>
        </w:rPr>
        <w:t xml:space="preserve"> describió cómo se realizaba la visita domiciliaria en el CESFAM al inicio del internado y se comparó esa práctica con lo que plantean la Orientación Técnica del Programa de Salud Cardiovascular y del Fondo de Farmacia (Ministerio de Salud de Chile, 2017b, 2018b, 2020), la Guía de </w:t>
      </w:r>
      <w:r w:rsidR="001E3629">
        <w:rPr>
          <w:rFonts w:ascii="Arial" w:eastAsia="Arial" w:hAnsi="Arial"/>
          <w:sz w:val="24"/>
        </w:rPr>
        <w:t>Atención Farmacéutica</w:t>
      </w:r>
      <w:r w:rsidR="006031D9">
        <w:rPr>
          <w:rFonts w:ascii="Arial" w:eastAsia="Arial" w:hAnsi="Arial"/>
          <w:sz w:val="24"/>
        </w:rPr>
        <w:t xml:space="preserve"> y Seguimiento Farmacoterapéutico en APS (Ministerio de Salud de Chile, 2018a) y los tres pilares del Modelo CMO. La comparación se apoyó, además, en la evaluación previa del mismo programa (Faúndez Navarrete, 2020) y en la información entregada por el equipo de salud del centro.</w:t>
      </w:r>
    </w:p>
    <w:p w14:paraId="03C2CA3A" w14:textId="3084D615" w:rsidR="000E1F30" w:rsidRDefault="7F07F010">
      <w:pPr>
        <w:spacing w:after="120" w:line="360" w:lineRule="auto"/>
        <w:jc w:val="both"/>
      </w:pPr>
      <w:r w:rsidRPr="10550309">
        <w:rPr>
          <w:rFonts w:ascii="Arial" w:eastAsia="Arial" w:hAnsi="Arial"/>
          <w:sz w:val="24"/>
          <w:szCs w:val="24"/>
        </w:rPr>
        <w:t xml:space="preserve">En la práctica, la </w:t>
      </w:r>
      <w:r w:rsidR="001E3629">
        <w:rPr>
          <w:rFonts w:ascii="Arial" w:eastAsia="Arial" w:hAnsi="Arial"/>
          <w:sz w:val="24"/>
          <w:szCs w:val="24"/>
        </w:rPr>
        <w:t>Atención Farmacéutica</w:t>
      </w:r>
      <w:r w:rsidRPr="10550309">
        <w:rPr>
          <w:rFonts w:ascii="Arial" w:eastAsia="Arial" w:hAnsi="Arial"/>
          <w:sz w:val="24"/>
          <w:szCs w:val="24"/>
        </w:rPr>
        <w:t xml:space="preserve"> domiciliaria del CESFAM ingresa solo por derivación de algún profesional del equipo medicina, enfermería, nutrición, kinesiología, psicología u otro y se programa en torno a unas 25 personas al mes, cifra que se fija cada año según lo que solicita el Servicio de Salud. Dentro de esas visitas se distinguen dos situaciones. Por un </w:t>
      </w:r>
      <w:r w:rsidR="28652C29" w:rsidRPr="10550309">
        <w:rPr>
          <w:rFonts w:ascii="Arial" w:eastAsia="Arial" w:hAnsi="Arial"/>
          <w:sz w:val="24"/>
          <w:szCs w:val="24"/>
        </w:rPr>
        <w:t>lado,</w:t>
      </w:r>
      <w:r w:rsidRPr="10550309">
        <w:rPr>
          <w:rFonts w:ascii="Arial" w:eastAsia="Arial" w:hAnsi="Arial"/>
          <w:sz w:val="24"/>
          <w:szCs w:val="24"/>
        </w:rPr>
        <w:t xml:space="preserve"> está el seguimiento farmacoterapéutico, dirigido a pacientes descompensados, que contempla al menos tres visitas por persona, o más si el caso lo requiere. Por otro</w:t>
      </w:r>
      <w:r w:rsidR="00B40D5C">
        <w:rPr>
          <w:rFonts w:ascii="Arial" w:eastAsia="Arial" w:hAnsi="Arial"/>
          <w:sz w:val="24"/>
          <w:szCs w:val="24"/>
        </w:rPr>
        <w:t xml:space="preserve"> lado,</w:t>
      </w:r>
      <w:r w:rsidRPr="10550309">
        <w:rPr>
          <w:rFonts w:ascii="Arial" w:eastAsia="Arial" w:hAnsi="Arial"/>
          <w:sz w:val="24"/>
          <w:szCs w:val="24"/>
        </w:rPr>
        <w:t xml:space="preserve"> están las visitas puntuales, para usuarios derivados por posible falta de adherencia, </w:t>
      </w:r>
      <w:r w:rsidR="00B40D5C">
        <w:rPr>
          <w:rFonts w:ascii="Arial" w:eastAsia="Arial" w:hAnsi="Arial"/>
          <w:sz w:val="24"/>
          <w:szCs w:val="24"/>
        </w:rPr>
        <w:t>el</w:t>
      </w:r>
      <w:r w:rsidRPr="10550309">
        <w:rPr>
          <w:rFonts w:ascii="Arial" w:eastAsia="Arial" w:hAnsi="Arial"/>
          <w:sz w:val="24"/>
          <w:szCs w:val="24"/>
        </w:rPr>
        <w:t xml:space="preserve"> inicio de un tratamiento que aún no comprenden, polifarmacia o </w:t>
      </w:r>
      <w:r w:rsidRPr="10550309">
        <w:rPr>
          <w:rFonts w:ascii="Arial" w:eastAsia="Arial" w:hAnsi="Arial"/>
          <w:sz w:val="24"/>
          <w:szCs w:val="24"/>
        </w:rPr>
        <w:lastRenderedPageBreak/>
        <w:t xml:space="preserve">edad avanzada, en las que se </w:t>
      </w:r>
      <w:r w:rsidR="00B40D5C">
        <w:rPr>
          <w:rFonts w:ascii="Arial" w:eastAsia="Arial" w:hAnsi="Arial"/>
          <w:sz w:val="24"/>
          <w:szCs w:val="24"/>
        </w:rPr>
        <w:t>evalúa</w:t>
      </w:r>
      <w:r w:rsidRPr="10550309">
        <w:rPr>
          <w:rFonts w:ascii="Arial" w:eastAsia="Arial" w:hAnsi="Arial"/>
          <w:sz w:val="24"/>
          <w:szCs w:val="24"/>
        </w:rPr>
        <w:t xml:space="preserve"> cómo están usando sus medicamentos. La repartición de las visitas a lo largo del mes depende, sobre todo, del tiempo y la disponibilidad del profesional.</w:t>
      </w:r>
    </w:p>
    <w:p w14:paraId="01A55238" w14:textId="3DF919EE" w:rsidR="000E1F30" w:rsidRDefault="00A73892">
      <w:pPr>
        <w:spacing w:after="120" w:line="360" w:lineRule="auto"/>
        <w:jc w:val="both"/>
      </w:pPr>
      <w:r w:rsidRPr="00A73892">
        <w:rPr>
          <w:rFonts w:ascii="Arial" w:eastAsia="Arial" w:hAnsi="Arial"/>
          <w:sz w:val="24"/>
          <w:szCs w:val="24"/>
        </w:rPr>
        <w:t>En cuanto al registro</w:t>
      </w:r>
      <w:r w:rsidR="00B40D5C">
        <w:rPr>
          <w:rFonts w:ascii="Arial" w:eastAsia="Arial" w:hAnsi="Arial"/>
          <w:sz w:val="24"/>
          <w:szCs w:val="24"/>
        </w:rPr>
        <w:t>,</w:t>
      </w:r>
      <w:r w:rsidRPr="00A73892">
        <w:rPr>
          <w:rFonts w:ascii="Arial" w:eastAsia="Arial" w:hAnsi="Arial"/>
          <w:sz w:val="24"/>
          <w:szCs w:val="24"/>
        </w:rPr>
        <w:t xml:space="preserve"> </w:t>
      </w:r>
      <w:r w:rsidR="00B40D5C">
        <w:rPr>
          <w:rFonts w:ascii="Arial" w:eastAsia="Arial" w:hAnsi="Arial"/>
          <w:sz w:val="24"/>
          <w:szCs w:val="24"/>
        </w:rPr>
        <w:t>a</w:t>
      </w:r>
      <w:r w:rsidRPr="00A73892">
        <w:rPr>
          <w:rFonts w:ascii="Arial" w:eastAsia="Arial" w:hAnsi="Arial"/>
          <w:sz w:val="24"/>
          <w:szCs w:val="24"/>
        </w:rPr>
        <w:t xml:space="preserve">ntes de cada visita el profesional revisa en la ficha clínica electrónica (SINET Sur) los exámenes de laboratorio disponibles (hemograma, perfil lipídico, glucosa, creatinina, velocidad de filtración glomerular, hemoglobina glicosilada, TSH, T4 libre, etc.) y los anota en una hoja de trabajo que lleva al domicilio. </w:t>
      </w:r>
      <w:r w:rsidR="00C06733">
        <w:rPr>
          <w:rFonts w:ascii="Arial" w:eastAsia="Arial" w:hAnsi="Arial"/>
          <w:sz w:val="24"/>
          <w:szCs w:val="24"/>
        </w:rPr>
        <w:t>La</w:t>
      </w:r>
      <w:r w:rsidRPr="00A73892">
        <w:rPr>
          <w:rFonts w:ascii="Arial" w:eastAsia="Arial" w:hAnsi="Arial"/>
          <w:sz w:val="24"/>
          <w:szCs w:val="24"/>
        </w:rPr>
        <w:t xml:space="preserve"> hoja </w:t>
      </w:r>
      <w:r w:rsidR="00C06733">
        <w:rPr>
          <w:rFonts w:ascii="Arial" w:eastAsia="Arial" w:hAnsi="Arial"/>
          <w:sz w:val="24"/>
          <w:szCs w:val="24"/>
        </w:rPr>
        <w:t xml:space="preserve">también </w:t>
      </w:r>
      <w:r w:rsidRPr="00A73892">
        <w:rPr>
          <w:rFonts w:ascii="Arial" w:eastAsia="Arial" w:hAnsi="Arial"/>
          <w:sz w:val="24"/>
          <w:szCs w:val="24"/>
        </w:rPr>
        <w:t xml:space="preserve">consigna los diagnósticos del paciente y el listado de sus medicamentos con sus dosis y horarios, y se apoya en una pauta con los temas que debe revisar durante la visita, como la educación sobre la terapia, la conciliación de la medicación, las interacciones, la detección de reacciones adversas, la cronofarmacología, el almacenamiento y los vencimientos, la técnica de administración de insulina, las alergias, el sueño y el apetito, que va marcando a medida que los aborda. Además, durante la visita mide la presión arterial del paciente con un tensiómetro para estimar su grado de compensación y, al regresar al centro, deja constancia de lo realizado en la ficha clínica. </w:t>
      </w:r>
      <w:r w:rsidR="0012133E" w:rsidRPr="0012133E">
        <w:rPr>
          <w:rFonts w:ascii="Arial" w:eastAsia="Arial" w:hAnsi="Arial"/>
          <w:sz w:val="24"/>
          <w:szCs w:val="24"/>
        </w:rPr>
        <w:t>En consecuencia, el problema no radica en la falta de registro, sino en que los apoyos utilizados son de carácter individual y no corresponden a un instrumento estandarizado y compartido.</w:t>
      </w:r>
    </w:p>
    <w:p w14:paraId="4B11F265" w14:textId="5DBD4279" w:rsidR="000E1F30" w:rsidRDefault="7F07F010">
      <w:pPr>
        <w:spacing w:after="120" w:line="360" w:lineRule="auto"/>
        <w:jc w:val="both"/>
      </w:pPr>
      <w:r w:rsidRPr="10550309">
        <w:rPr>
          <w:rFonts w:ascii="Arial" w:eastAsia="Arial" w:hAnsi="Arial"/>
          <w:sz w:val="24"/>
          <w:szCs w:val="24"/>
        </w:rPr>
        <w:t xml:space="preserve">Al comparar ese funcionamiento con la norma y con el Modelo CMO surgen tres brechas principales. La primera, ligada a la Capacidad, </w:t>
      </w:r>
      <w:r w:rsidR="00BD14B4">
        <w:rPr>
          <w:rFonts w:ascii="Arial" w:eastAsia="Arial" w:hAnsi="Arial"/>
          <w:sz w:val="24"/>
          <w:szCs w:val="24"/>
        </w:rPr>
        <w:t>radica en</w:t>
      </w:r>
      <w:r w:rsidRPr="10550309">
        <w:rPr>
          <w:rFonts w:ascii="Arial" w:eastAsia="Arial" w:hAnsi="Arial"/>
          <w:sz w:val="24"/>
          <w:szCs w:val="24"/>
        </w:rPr>
        <w:t xml:space="preserve"> que el ingreso depende de la derivación de otros profesionales y del tiempo disponible y que, si bien en la práctica se prioriza a los pacientes más descompensados, no existe un criterio de estratificación de riesgo estandarizado que el propio farmacéutico aplique para decidir a quién priorizar. La segunda, ligada a la Motivación, </w:t>
      </w:r>
      <w:r w:rsidR="00BD14B4">
        <w:rPr>
          <w:rFonts w:ascii="Arial" w:eastAsia="Arial" w:hAnsi="Arial"/>
          <w:sz w:val="24"/>
          <w:szCs w:val="24"/>
        </w:rPr>
        <w:t>es que gran parte de</w:t>
      </w:r>
      <w:r w:rsidRPr="10550309">
        <w:rPr>
          <w:rFonts w:ascii="Arial" w:eastAsia="Arial" w:hAnsi="Arial"/>
          <w:sz w:val="24"/>
          <w:szCs w:val="24"/>
        </w:rPr>
        <w:t xml:space="preserve"> las derivaciones responde justamente a problemas de adherencia o a pacientes que no comprenden su tratamiento, pero no hay una forma protocolizada de abordar esas barreras ni de educar, de modo que la intervención queda a criterio de cada visita. La tercera, ligada a la Oportunidad, </w:t>
      </w:r>
      <w:r w:rsidR="00BD14B4">
        <w:rPr>
          <w:rFonts w:ascii="Arial" w:eastAsia="Arial" w:hAnsi="Arial"/>
          <w:sz w:val="24"/>
          <w:szCs w:val="24"/>
        </w:rPr>
        <w:t>indica</w:t>
      </w:r>
      <w:r w:rsidRPr="10550309">
        <w:rPr>
          <w:rFonts w:ascii="Arial" w:eastAsia="Arial" w:hAnsi="Arial"/>
          <w:sz w:val="24"/>
          <w:szCs w:val="24"/>
        </w:rPr>
        <w:t xml:space="preserve"> </w:t>
      </w:r>
      <w:r w:rsidR="00BD14B4">
        <w:rPr>
          <w:rFonts w:ascii="Arial" w:eastAsia="Arial" w:hAnsi="Arial"/>
          <w:sz w:val="24"/>
          <w:szCs w:val="24"/>
        </w:rPr>
        <w:t xml:space="preserve">que </w:t>
      </w:r>
      <w:r w:rsidRPr="10550309">
        <w:rPr>
          <w:rFonts w:ascii="Arial" w:eastAsia="Arial" w:hAnsi="Arial"/>
          <w:sz w:val="24"/>
          <w:szCs w:val="24"/>
        </w:rPr>
        <w:t xml:space="preserve">el número y la frecuencia de las visitas se ajustan caso a caso según la disponibilidad y que, si bien el registro se realiza en la ficha clínica electrónica del establecimiento (SINET Sur) y en hojas de apoyo personales, lo que aporta cierta trazabilidad, no existe un instrumento de registro estandarizado y propio de la </w:t>
      </w:r>
      <w:r w:rsidR="001E3629">
        <w:rPr>
          <w:rFonts w:ascii="Arial" w:eastAsia="Arial" w:hAnsi="Arial"/>
          <w:sz w:val="24"/>
          <w:szCs w:val="24"/>
        </w:rPr>
        <w:t xml:space="preserve">Atención </w:t>
      </w:r>
      <w:r w:rsidR="001E3629">
        <w:rPr>
          <w:rFonts w:ascii="Arial" w:eastAsia="Arial" w:hAnsi="Arial"/>
          <w:sz w:val="24"/>
          <w:szCs w:val="24"/>
        </w:rPr>
        <w:lastRenderedPageBreak/>
        <w:t>Farmacéutica</w:t>
      </w:r>
      <w:r w:rsidRPr="10550309">
        <w:rPr>
          <w:rFonts w:ascii="Arial" w:eastAsia="Arial" w:hAnsi="Arial"/>
          <w:sz w:val="24"/>
          <w:szCs w:val="24"/>
        </w:rPr>
        <w:t xml:space="preserve"> domiciliaria que facilite el seguimiento y la comparación entre profesionales. La Tabla 1 resume estas brechas, que son las que el protocolo busca cerrar.</w:t>
      </w:r>
    </w:p>
    <w:p w14:paraId="44C5ECBF" w14:textId="6EB3FA5B"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Tabla </w:t>
      </w:r>
      <w:r w:rsidR="2FCCF06B" w:rsidRPr="10550309">
        <w:rPr>
          <w:rFonts w:ascii="Arial" w:eastAsia="Arial" w:hAnsi="Arial" w:cs="Arial"/>
          <w:sz w:val="24"/>
          <w:szCs w:val="24"/>
        </w:rPr>
        <w:t>1</w:t>
      </w:r>
      <w:r w:rsidRPr="10550309">
        <w:rPr>
          <w:rFonts w:ascii="Arial" w:eastAsia="Arial" w:hAnsi="Arial" w:cs="Arial"/>
          <w:sz w:val="24"/>
          <w:szCs w:val="24"/>
        </w:rPr>
        <w:t>. Brechas del programa de visitas domiciliarias según los pilares del Modelo CMO.</w:t>
      </w:r>
    </w:p>
    <w:tbl>
      <w:tblPr>
        <w:tblStyle w:val="Tablaconcuadrcula"/>
        <w:tblW w:w="0" w:type="auto"/>
        <w:jc w:val="center"/>
        <w:tblLook w:val="04A0" w:firstRow="1" w:lastRow="0" w:firstColumn="1" w:lastColumn="0" w:noHBand="0" w:noVBand="1"/>
      </w:tblPr>
      <w:tblGrid>
        <w:gridCol w:w="2318"/>
        <w:gridCol w:w="2321"/>
        <w:gridCol w:w="2431"/>
        <w:gridCol w:w="2324"/>
      </w:tblGrid>
      <w:tr w:rsidR="000E1F30" w14:paraId="177F9A8E" w14:textId="77777777" w:rsidTr="10550309">
        <w:trPr>
          <w:jc w:val="center"/>
        </w:trPr>
        <w:tc>
          <w:tcPr>
            <w:tcW w:w="2351" w:type="dxa"/>
          </w:tcPr>
          <w:p w14:paraId="4E98F9D8" w14:textId="77777777"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Pilar del Modelo CMO</w:t>
            </w:r>
          </w:p>
        </w:tc>
        <w:tc>
          <w:tcPr>
            <w:tcW w:w="2351" w:type="dxa"/>
          </w:tcPr>
          <w:p w14:paraId="65A4AC7D" w14:textId="77777777"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Lo que se espera</w:t>
            </w:r>
          </w:p>
        </w:tc>
        <w:tc>
          <w:tcPr>
            <w:tcW w:w="2351" w:type="dxa"/>
          </w:tcPr>
          <w:p w14:paraId="3F1B2BC5" w14:textId="77777777"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Lo observado</w:t>
            </w:r>
          </w:p>
        </w:tc>
        <w:tc>
          <w:tcPr>
            <w:tcW w:w="2351" w:type="dxa"/>
          </w:tcPr>
          <w:p w14:paraId="440A3147" w14:textId="77777777"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Brecha</w:t>
            </w:r>
          </w:p>
        </w:tc>
      </w:tr>
      <w:tr w:rsidR="000E1F30" w14:paraId="416B01DE" w14:textId="77777777" w:rsidTr="10550309">
        <w:trPr>
          <w:jc w:val="center"/>
        </w:trPr>
        <w:tc>
          <w:tcPr>
            <w:tcW w:w="2351" w:type="dxa"/>
          </w:tcPr>
          <w:p w14:paraId="6C2598D4"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Capacidad</w:t>
            </w:r>
          </w:p>
        </w:tc>
        <w:tc>
          <w:tcPr>
            <w:tcW w:w="2351" w:type="dxa"/>
          </w:tcPr>
          <w:p w14:paraId="3D4900B1"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Priorizar la visita según el riesgo y la complejidad del paciente.</w:t>
            </w:r>
          </w:p>
        </w:tc>
        <w:tc>
          <w:tcPr>
            <w:tcW w:w="2351" w:type="dxa"/>
          </w:tcPr>
          <w:p w14:paraId="2EAE77FB"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El ingreso depende de la derivación y del tiempo disponible (unas 25 visitas al mes).</w:t>
            </w:r>
          </w:p>
        </w:tc>
        <w:tc>
          <w:tcPr>
            <w:tcW w:w="2351" w:type="dxa"/>
          </w:tcPr>
          <w:p w14:paraId="4A664504" w14:textId="55795956"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No </w:t>
            </w:r>
            <w:r w:rsidR="00BD14B4">
              <w:rPr>
                <w:rFonts w:ascii="Arial" w:eastAsia="Arial" w:hAnsi="Arial" w:cs="Arial"/>
                <w:sz w:val="24"/>
                <w:szCs w:val="24"/>
              </w:rPr>
              <w:t>existe</w:t>
            </w:r>
            <w:r w:rsidRPr="10550309">
              <w:rPr>
                <w:rFonts w:ascii="Arial" w:eastAsia="Arial" w:hAnsi="Arial" w:cs="Arial"/>
                <w:sz w:val="24"/>
                <w:szCs w:val="24"/>
              </w:rPr>
              <w:t xml:space="preserve"> un criterio de estratificación de riesgo propio del farmacéutico.</w:t>
            </w:r>
          </w:p>
        </w:tc>
      </w:tr>
      <w:tr w:rsidR="000E1F30" w14:paraId="15C0C0CC" w14:textId="77777777" w:rsidTr="10550309">
        <w:trPr>
          <w:jc w:val="center"/>
        </w:trPr>
        <w:tc>
          <w:tcPr>
            <w:tcW w:w="2351" w:type="dxa"/>
          </w:tcPr>
          <w:p w14:paraId="019C8D98"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Motivación</w:t>
            </w:r>
          </w:p>
        </w:tc>
        <w:tc>
          <w:tcPr>
            <w:tcW w:w="2351" w:type="dxa"/>
          </w:tcPr>
          <w:p w14:paraId="0AD675FF"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Abordar la adherencia con entrevista motivacional estructurada.</w:t>
            </w:r>
          </w:p>
        </w:tc>
        <w:tc>
          <w:tcPr>
            <w:tcW w:w="2351" w:type="dxa"/>
          </w:tcPr>
          <w:p w14:paraId="4A878595" w14:textId="7B0EA96E" w:rsidR="000E1F30" w:rsidRDefault="00BD14B4" w:rsidP="10550309">
            <w:pPr>
              <w:rPr>
                <w:rFonts w:ascii="Arial" w:eastAsia="Arial" w:hAnsi="Arial" w:cs="Arial"/>
                <w:sz w:val="24"/>
                <w:szCs w:val="24"/>
              </w:rPr>
            </w:pPr>
            <w:r>
              <w:rPr>
                <w:rFonts w:ascii="Arial" w:eastAsia="Arial" w:hAnsi="Arial" w:cs="Arial"/>
                <w:sz w:val="24"/>
                <w:szCs w:val="24"/>
              </w:rPr>
              <w:t>La mayoría de las</w:t>
            </w:r>
            <w:r w:rsidR="7F07F010" w:rsidRPr="10550309">
              <w:rPr>
                <w:rFonts w:ascii="Arial" w:eastAsia="Arial" w:hAnsi="Arial" w:cs="Arial"/>
                <w:sz w:val="24"/>
                <w:szCs w:val="24"/>
              </w:rPr>
              <w:t xml:space="preserve"> derivaciones son por adherencia o desconocimiento del tratamiento, sin un abordaje definido.</w:t>
            </w:r>
          </w:p>
        </w:tc>
        <w:tc>
          <w:tcPr>
            <w:tcW w:w="2351" w:type="dxa"/>
          </w:tcPr>
          <w:p w14:paraId="55961C64"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La educación y el trabajo de barreras dependen de cada visita.</w:t>
            </w:r>
          </w:p>
        </w:tc>
      </w:tr>
      <w:tr w:rsidR="000E1F30" w14:paraId="241DC92E" w14:textId="77777777" w:rsidTr="10550309">
        <w:trPr>
          <w:jc w:val="center"/>
        </w:trPr>
        <w:tc>
          <w:tcPr>
            <w:tcW w:w="2351" w:type="dxa"/>
          </w:tcPr>
          <w:p w14:paraId="4E820BFB" w14:textId="79E12B87" w:rsidR="000E1F30" w:rsidRDefault="7F07F010" w:rsidP="10550309">
            <w:pPr>
              <w:rPr>
                <w:rFonts w:ascii="Arial" w:eastAsia="Arial" w:hAnsi="Arial" w:cs="Arial"/>
                <w:sz w:val="24"/>
                <w:szCs w:val="24"/>
              </w:rPr>
            </w:pPr>
            <w:r w:rsidRPr="10550309">
              <w:rPr>
                <w:rFonts w:ascii="Arial" w:eastAsia="Arial" w:hAnsi="Arial" w:cs="Arial"/>
                <w:sz w:val="24"/>
                <w:szCs w:val="24"/>
              </w:rPr>
              <w:t>Oportunidad</w:t>
            </w:r>
          </w:p>
        </w:tc>
        <w:tc>
          <w:tcPr>
            <w:tcW w:w="2351" w:type="dxa"/>
          </w:tcPr>
          <w:p w14:paraId="3F2956D8" w14:textId="77777777" w:rsidR="000E1F30" w:rsidRDefault="7F07F010" w:rsidP="10550309">
            <w:pPr>
              <w:rPr>
                <w:rFonts w:ascii="Arial" w:eastAsia="Arial" w:hAnsi="Arial" w:cs="Arial"/>
                <w:sz w:val="24"/>
                <w:szCs w:val="24"/>
              </w:rPr>
            </w:pPr>
            <w:r w:rsidRPr="10550309">
              <w:rPr>
                <w:rFonts w:ascii="Arial" w:eastAsia="Arial" w:hAnsi="Arial" w:cs="Arial"/>
                <w:sz w:val="24"/>
                <w:szCs w:val="24"/>
              </w:rPr>
              <w:t>Registro estructurado y continuidad del seguimiento.</w:t>
            </w:r>
          </w:p>
        </w:tc>
        <w:tc>
          <w:tcPr>
            <w:tcW w:w="2351" w:type="dxa"/>
          </w:tcPr>
          <w:p w14:paraId="7C5B75F8" w14:textId="77777777" w:rsidR="000E1F30" w:rsidRDefault="7F07F010" w:rsidP="10550309">
            <w:pPr>
              <w:rPr>
                <w:rFonts w:ascii="Arial" w:eastAsia="Arial" w:hAnsi="Arial" w:cs="Arial"/>
                <w:sz w:val="24"/>
                <w:szCs w:val="24"/>
              </w:rPr>
            </w:pPr>
            <w:commentRangeStart w:id="39"/>
            <w:r w:rsidRPr="10550309">
              <w:rPr>
                <w:rFonts w:ascii="Arial" w:eastAsia="Arial" w:hAnsi="Arial" w:cs="Arial"/>
                <w:sz w:val="24"/>
                <w:szCs w:val="24"/>
              </w:rPr>
              <w:t>Registro en la ficha clínica electrónica (SINET Sur); frecuencia de visitas según disponibilidad.</w:t>
            </w:r>
            <w:commentRangeEnd w:id="39"/>
            <w:r w:rsidR="00F91C89">
              <w:rPr>
                <w:rStyle w:val="Refdecomentario"/>
                <w:rFonts w:ascii="Arial" w:eastAsia="Arial" w:hAnsi="Arial" w:cs="Arial"/>
                <w:sz w:val="24"/>
                <w:szCs w:val="24"/>
              </w:rPr>
              <w:commentReference w:id="39"/>
            </w:r>
          </w:p>
        </w:tc>
        <w:tc>
          <w:tcPr>
            <w:tcW w:w="2351" w:type="dxa"/>
          </w:tcPr>
          <w:p w14:paraId="3A260288" w14:textId="34CAF03F"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Falta un registro propio de la </w:t>
            </w:r>
            <w:r w:rsidR="001E3629">
              <w:rPr>
                <w:rFonts w:ascii="Arial" w:eastAsia="Arial" w:hAnsi="Arial" w:cs="Arial"/>
                <w:sz w:val="24"/>
                <w:szCs w:val="24"/>
              </w:rPr>
              <w:t>Atención Farmacéutica</w:t>
            </w:r>
            <w:r w:rsidRPr="10550309">
              <w:rPr>
                <w:rFonts w:ascii="Arial" w:eastAsia="Arial" w:hAnsi="Arial" w:cs="Arial"/>
                <w:sz w:val="24"/>
                <w:szCs w:val="24"/>
              </w:rPr>
              <w:t xml:space="preserve"> y una pauta común de seguimiento.</w:t>
            </w:r>
          </w:p>
        </w:tc>
      </w:tr>
    </w:tbl>
    <w:p w14:paraId="19B51E83" w14:textId="48A87179" w:rsidR="000E1F30" w:rsidRDefault="4B46B525">
      <w:pPr>
        <w:pStyle w:val="Ttulo2"/>
      </w:pPr>
      <w:bookmarkStart w:id="40" w:name="_Toc234959474"/>
      <w:bookmarkStart w:id="41" w:name="_Toc234430364"/>
      <w:r>
        <w:t>2.3 Población, priorización y flujograma de la visita</w:t>
      </w:r>
      <w:bookmarkEnd w:id="40"/>
      <w:r>
        <w:t xml:space="preserve"> </w:t>
      </w:r>
      <w:bookmarkEnd w:id="41"/>
    </w:p>
    <w:p w14:paraId="777B9099" w14:textId="6B52C180" w:rsidR="000E1F30" w:rsidRDefault="006031D9">
      <w:pPr>
        <w:spacing w:after="120" w:line="360" w:lineRule="auto"/>
        <w:jc w:val="both"/>
      </w:pPr>
      <w:r>
        <w:rPr>
          <w:rFonts w:ascii="Arial" w:eastAsia="Arial" w:hAnsi="Arial"/>
          <w:sz w:val="24"/>
        </w:rPr>
        <w:t xml:space="preserve">El protocolo está pensado para las personas adultas y mayores del Programa de Salud Cardiovascular del CESFAM Villa Nonguén, con prioridad en </w:t>
      </w:r>
      <w:r w:rsidR="00BD14B4">
        <w:rPr>
          <w:rFonts w:ascii="Arial" w:eastAsia="Arial" w:hAnsi="Arial"/>
          <w:sz w:val="24"/>
        </w:rPr>
        <w:t>pacientes con polifarmacia</w:t>
      </w:r>
      <w:r>
        <w:rPr>
          <w:rFonts w:ascii="Arial" w:eastAsia="Arial" w:hAnsi="Arial"/>
          <w:sz w:val="24"/>
        </w:rPr>
        <w:t>, dependen de un cuidador, se descompensan con frecuencia o tienen dificultades para acudir al centro. Esta forma de priorizar responde al pilar de Capacidad del Modelo CMO, que orienta el tiempo del farmacéutico hacia los pacientes más complejos y que más se benefician del seguimiento.</w:t>
      </w:r>
    </w:p>
    <w:p w14:paraId="1B21C036" w14:textId="1634A062" w:rsidR="000E1F30" w:rsidRDefault="006031D9">
      <w:pPr>
        <w:spacing w:after="120" w:line="360" w:lineRule="auto"/>
        <w:jc w:val="both"/>
      </w:pPr>
      <w:r>
        <w:rPr>
          <w:rFonts w:ascii="Arial" w:eastAsia="Arial" w:hAnsi="Arial"/>
          <w:sz w:val="24"/>
        </w:rPr>
        <w:t xml:space="preserve">Para ordenar el ingreso al protocolo se definieron criterios de inclusión y de exclusión, tomando como referencia los que ya se aplicaban en el programa del propio centro (Faúndez Navarrete, 2020). Se incluye a los usuarios del Programa de Salud Cardiovascular que están descompensados o con control inestable, mayores de 18 años y en seguimiento activo, sea en box o en domicilio. Se excluye, en cambio, a quienes </w:t>
      </w:r>
      <w:r>
        <w:rPr>
          <w:rFonts w:ascii="Arial" w:eastAsia="Arial" w:hAnsi="Arial"/>
          <w:sz w:val="24"/>
        </w:rPr>
        <w:lastRenderedPageBreak/>
        <w:t>tienen barreras de comunicación que impiden la entrevista, presentan un deterioro cognitivo importante sin un cuidador que apoye, viven fuera del territorio del CESFAM y a quienes llevan más de seis meses sin asistir a sus controles.</w:t>
      </w:r>
    </w:p>
    <w:p w14:paraId="2731AA78" w14:textId="21CD9145" w:rsidR="000E1F30" w:rsidRDefault="006031D9">
      <w:pPr>
        <w:spacing w:after="120" w:line="360" w:lineRule="auto"/>
        <w:jc w:val="both"/>
      </w:pPr>
      <w:r>
        <w:rPr>
          <w:rFonts w:ascii="Arial" w:eastAsia="Arial" w:hAnsi="Arial"/>
          <w:sz w:val="24"/>
        </w:rPr>
        <w:t xml:space="preserve">La visita se organiza en tres etapas de contacto directo, que recogen los pilares del modelo (Manzano García et al., 2018). En la entrevista inicial se </w:t>
      </w:r>
      <w:r w:rsidR="0063423D">
        <w:rPr>
          <w:rFonts w:ascii="Arial" w:eastAsia="Arial" w:hAnsi="Arial"/>
          <w:sz w:val="24"/>
        </w:rPr>
        <w:t>recopilan</w:t>
      </w:r>
      <w:r>
        <w:rPr>
          <w:rFonts w:ascii="Arial" w:eastAsia="Arial" w:hAnsi="Arial"/>
          <w:sz w:val="24"/>
        </w:rP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672A6659" w14:textId="2D1F9BD2"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9">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5DC8C6BB" w14:textId="7C01AC48"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Figura </w:t>
      </w:r>
      <w:r w:rsidR="577986EA" w:rsidRPr="10550309">
        <w:rPr>
          <w:rFonts w:ascii="Arial" w:eastAsia="Arial" w:hAnsi="Arial" w:cs="Arial"/>
          <w:sz w:val="24"/>
          <w:szCs w:val="24"/>
        </w:rPr>
        <w:t>1</w:t>
      </w:r>
      <w:r w:rsidRPr="10550309">
        <w:rPr>
          <w:rFonts w:ascii="Arial" w:eastAsia="Arial" w:hAnsi="Arial" w:cs="Arial"/>
          <w:sz w:val="24"/>
          <w:szCs w:val="24"/>
        </w:rPr>
        <w:t>. Flujograma de priorización e intervención farmacéutica domiciliaria según el Modelo CMO, CESFAM Villa Nonguén. Elaboración propia.</w:t>
      </w:r>
    </w:p>
    <w:p w14:paraId="22DD65A6" w14:textId="77777777" w:rsidR="000E1F30" w:rsidRDefault="006031D9">
      <w:pPr>
        <w:spacing w:after="120" w:line="360" w:lineRule="auto"/>
        <w:jc w:val="both"/>
      </w:pPr>
      <w:r>
        <w:rPr>
          <w:rFonts w:ascii="Arial" w:eastAsia="Arial" w:hAnsi="Arial"/>
          <w:sz w:val="24"/>
        </w:rP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0A37501D" w14:textId="3CF775A0"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20">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1EEA1C19" w14:textId="61FE0B18"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Figura </w:t>
      </w:r>
      <w:r w:rsidR="659380A9" w:rsidRPr="10550309">
        <w:rPr>
          <w:rFonts w:ascii="Arial" w:eastAsia="Arial" w:hAnsi="Arial" w:cs="Arial"/>
          <w:sz w:val="24"/>
          <w:szCs w:val="24"/>
        </w:rPr>
        <w:t>2</w:t>
      </w:r>
      <w:r w:rsidRPr="10550309">
        <w:rPr>
          <w:rFonts w:ascii="Arial" w:eastAsia="Arial" w:hAnsi="Arial" w:cs="Arial"/>
          <w:sz w:val="24"/>
          <w:szCs w:val="24"/>
        </w:rPr>
        <w:t xml:space="preserve">. </w:t>
      </w:r>
      <w:r w:rsidR="00F40006" w:rsidRPr="00F40006">
        <w:rPr>
          <w:rFonts w:ascii="Arial" w:eastAsia="Arial" w:hAnsi="Arial" w:cs="Arial"/>
          <w:sz w:val="24"/>
          <w:szCs w:val="24"/>
        </w:rPr>
        <w:t>Priorización</w:t>
      </w:r>
      <w:r w:rsidRPr="10550309">
        <w:rPr>
          <w:rFonts w:ascii="Arial" w:eastAsia="Arial" w:hAnsi="Arial" w:cs="Arial"/>
          <w:sz w:val="24"/>
          <w:szCs w:val="24"/>
        </w:rPr>
        <w:t xml:space="preserve"> de la derivación y asignación del tipo de visita domiciliaria según el Modelo CMO, CESFAM Villa Nonguén. Elaboración propia.</w:t>
      </w:r>
    </w:p>
    <w:p w14:paraId="5DAB6C7B" w14:textId="23574319"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21">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55F802D0" w14:textId="6D8CAC58" w:rsidR="000E1F30" w:rsidRDefault="7F07F010" w:rsidP="10550309">
      <w:pPr>
        <w:rPr>
          <w:sz w:val="24"/>
          <w:szCs w:val="24"/>
        </w:rPr>
      </w:pPr>
      <w:r w:rsidRPr="10550309">
        <w:rPr>
          <w:rFonts w:ascii="Arial" w:eastAsia="Arial" w:hAnsi="Arial" w:cs="Arial"/>
          <w:sz w:val="24"/>
          <w:szCs w:val="24"/>
        </w:rPr>
        <w:t xml:space="preserve">Figura </w:t>
      </w:r>
      <w:r w:rsidR="5E3AA842" w:rsidRPr="10550309">
        <w:rPr>
          <w:rFonts w:ascii="Arial" w:eastAsia="Arial" w:hAnsi="Arial" w:cs="Arial"/>
          <w:sz w:val="24"/>
          <w:szCs w:val="24"/>
        </w:rPr>
        <w:t>3</w:t>
      </w:r>
      <w:r w:rsidRPr="10550309">
        <w:rPr>
          <w:rFonts w:ascii="Arial" w:eastAsia="Arial" w:hAnsi="Arial" w:cs="Arial"/>
          <w:sz w:val="24"/>
          <w:szCs w:val="24"/>
        </w:rPr>
        <w:t>. Flujograma de la visita domiciliaria puntual de revisión de la medicación según el Modelo CMO, CESFAM Villa Nonguén. Elaboración propia.</w:t>
      </w:r>
    </w:p>
    <w:p w14:paraId="5BF6A3AF" w14:textId="21F9C899" w:rsidR="000E1F30" w:rsidRDefault="4B46B525">
      <w:pPr>
        <w:pStyle w:val="Ttulo2"/>
      </w:pPr>
      <w:bookmarkStart w:id="43" w:name="_Toc234430365"/>
      <w:bookmarkStart w:id="44" w:name="_Toc234959475"/>
      <w:r>
        <w:t>2.4 Instrumentos y herramientas de la atención (Objetivo 3)</w:t>
      </w:r>
      <w:bookmarkEnd w:id="43"/>
      <w:bookmarkEnd w:id="44"/>
    </w:p>
    <w:p w14:paraId="57CF0538" w14:textId="0F8034F3" w:rsidR="000E1F30" w:rsidRDefault="006031D9">
      <w:pPr>
        <w:spacing w:after="120" w:line="360" w:lineRule="auto"/>
        <w:jc w:val="both"/>
      </w:pPr>
      <w:commentRangeStart w:id="45"/>
      <w:commentRangeEnd w:id="45"/>
      <w:commentRangeStart w:id="46"/>
      <w:commentRangeEnd w:id="46"/>
      <w:r>
        <w:t>Para poder aplicar el protocolo se seleccionaron y adaptaron herramientas sencillas, compatibles con la rutina del CESFAM. La adherencia se evalúa con el test de Morisky-Green-Levine de cuatro preguntas (Morisky, Green &amp; Levine, 1986), incluido en el Anexo 2, que en algunos casos se complementa con el test de Batalla, el cual permite conocer el grado de conocimiento que el paciente tiene sobre su enfermedad (Batalla et al., 1984). Cuando están disponibles en la ficha clínica, se consideran los exámenes de laboratorio del paciente, como el hemograma, el perfil lipídico, la glucosa, la creatinina, la velocidad de filtración glomerular, la hemoglobina glicosilada o las pruebas tiroideas (TSH y T4 libre). Durante la visita domiciliaria esta información se complementa con la medición de la presión arterial y la frecuencia cardíaca mediante un tensiómetro de brazo, práctica ya habitual que permite estimar el grado de compensación del paciente en el momento.</w:t>
      </w:r>
    </w:p>
    <w:p w14:paraId="5D58C545" w14:textId="0B49FFA7" w:rsidR="000E1F30" w:rsidRDefault="7F07F010">
      <w:pPr>
        <w:spacing w:after="120" w:line="360" w:lineRule="auto"/>
        <w:jc w:val="both"/>
      </w:pPr>
      <w:r w:rsidRPr="10550309">
        <w:rPr>
          <w:rFonts w:ascii="Arial" w:eastAsia="Arial" w:hAnsi="Arial"/>
          <w:sz w:val="24"/>
          <w:szCs w:val="24"/>
        </w:rPr>
        <w:t>Los problemas relacionados con los medicamentos y los resultados negativos asociados a la medicación se ordenan según sean</w:t>
      </w:r>
      <w:r w:rsidR="0012133E">
        <w:rPr>
          <w:rFonts w:ascii="Arial" w:eastAsia="Arial" w:hAnsi="Arial"/>
          <w:sz w:val="24"/>
          <w:szCs w:val="24"/>
        </w:rPr>
        <w:t xml:space="preserve"> de</w:t>
      </w:r>
      <w:r w:rsidRPr="10550309">
        <w:rPr>
          <w:rFonts w:ascii="Arial" w:eastAsia="Arial" w:hAnsi="Arial"/>
          <w:sz w:val="24"/>
          <w:szCs w:val="24"/>
        </w:rPr>
        <w:t xml:space="preserve"> necesidad, efectividad o seguridad, siguiendo el Consenso de Granada (Comité de Consenso de Granada, 2007), como se detalla en el Anexo 6, y se acompañan de una lista de medidas para resolverlos </w:t>
      </w:r>
      <w:r w:rsidR="0012133E">
        <w:rPr>
          <w:rFonts w:ascii="Arial" w:eastAsia="Arial" w:hAnsi="Arial"/>
          <w:sz w:val="24"/>
          <w:szCs w:val="24"/>
        </w:rPr>
        <w:t xml:space="preserve">como por ejemplo: </w:t>
      </w:r>
      <w:r w:rsidRPr="10550309">
        <w:rPr>
          <w:rFonts w:ascii="Arial" w:eastAsia="Arial" w:hAnsi="Arial"/>
          <w:sz w:val="24"/>
          <w:szCs w:val="24"/>
        </w:rPr>
        <w:t>ajustar la dosis, cambiar el horario, iniciar o suspender un tratamiento, cambiar por una alternativa o educar al paciente, recogida en el Anexo 7. Las reacciones adversas se notifican según la Norma General Técnica de farmacovigilancia del Ministerio de Salud, usando el algoritmo OMS-REDRAM. Como apoyo se incorpora una ficha de conciliación (Anexo 1), una ficha de seguimiento farmacoterapéutico (Anexo 3), una hoja con el esquema de horarios (Anexo 4) y un protocolo de llamada telefónica para agendar (Anexo 5).</w:t>
      </w:r>
    </w:p>
    <w:p w14:paraId="0CCEE8D1" w14:textId="2D0BFB25" w:rsidR="000E1F30" w:rsidRDefault="006031D9">
      <w:pPr>
        <w:spacing w:after="120" w:line="360" w:lineRule="auto"/>
        <w:jc w:val="both"/>
      </w:pPr>
      <w:r>
        <w:rPr>
          <w:rFonts w:ascii="Arial" w:eastAsia="Arial" w:hAnsi="Arial"/>
          <w:sz w:val="24"/>
        </w:rPr>
        <w:t xml:space="preserve">La información que se </w:t>
      </w:r>
      <w:r w:rsidR="0012133E">
        <w:rPr>
          <w:rFonts w:ascii="Arial" w:eastAsia="Arial" w:hAnsi="Arial"/>
          <w:sz w:val="24"/>
        </w:rPr>
        <w:t>adquiere</w:t>
      </w:r>
      <w:r>
        <w:rPr>
          <w:rFonts w:ascii="Arial" w:eastAsia="Arial" w:hAnsi="Arial"/>
          <w:sz w:val="24"/>
        </w:rPr>
        <w:t xml:space="preserve"> en cada visita se anota primero en estas fichas de apoyo y luego se traspasa a la ficha clínica electrónica del establecimiento (SINET Sur), de modo que </w:t>
      </w:r>
      <w:r w:rsidR="0012133E">
        <w:rPr>
          <w:rFonts w:ascii="Arial" w:eastAsia="Arial" w:hAnsi="Arial"/>
          <w:sz w:val="24"/>
        </w:rPr>
        <w:t>sea</w:t>
      </w:r>
      <w:r>
        <w:rPr>
          <w:rFonts w:ascii="Arial" w:eastAsia="Arial" w:hAnsi="Arial"/>
          <w:sz w:val="24"/>
        </w:rPr>
        <w:t xml:space="preserve"> trazable y disponible para el resto del equipo. La revisión bibliográfica que sustenta estas decisiones se realizó en bases de datos como PubMed, SciELO y Google </w:t>
      </w:r>
      <w:r>
        <w:rPr>
          <w:rFonts w:ascii="Arial" w:eastAsia="Arial" w:hAnsi="Arial"/>
          <w:sz w:val="24"/>
        </w:rPr>
        <w:lastRenderedPageBreak/>
        <w:t>Scholar, junto con la normativa y las guías del Ministerio de Salud referidas al Programa de Salud Cardiovascular, al Fondo de Farmacia y al seguimiento farmacoterapéutico en Atención Primaria (Ministerio de Salud de Chile, 2018a, 2019). Una vez terminado, el protocolo se entregará al equipo de Química y Farmacia del CESFAM para su revisión y eventual uso.</w:t>
      </w:r>
    </w:p>
    <w:p w14:paraId="0AAD96D2" w14:textId="0AC38F14" w:rsidR="000E1F30" w:rsidRDefault="4B46B525">
      <w:pPr>
        <w:pStyle w:val="Ttulo2"/>
      </w:pPr>
      <w:bookmarkStart w:id="47" w:name="_Toc234430366"/>
      <w:bookmarkStart w:id="48" w:name="_Toc234959476"/>
      <w:r>
        <w:t>2.5 Consideraciones éticas</w:t>
      </w:r>
      <w:bookmarkEnd w:id="47"/>
      <w:bookmarkEnd w:id="48"/>
    </w:p>
    <w:p w14:paraId="225E3685" w14:textId="77777777" w:rsidR="000E1F30" w:rsidRDefault="006031D9">
      <w:pPr>
        <w:spacing w:after="120" w:line="360" w:lineRule="auto"/>
        <w:jc w:val="both"/>
      </w:pPr>
      <w:r>
        <w:rPr>
          <w:rFonts w:ascii="Arial" w:eastAsia="Arial" w:hAnsi="Arial"/>
          <w:sz w:val="24"/>
        </w:rPr>
        <w:t xml:space="preserve">Como se trata del diseño de un protocolo y </w:t>
      </w:r>
      <w:commentRangeStart w:id="49"/>
      <w:r>
        <w:rPr>
          <w:rFonts w:ascii="Arial" w:eastAsia="Arial" w:hAnsi="Arial"/>
          <w:sz w:val="24"/>
        </w:rPr>
        <w:t>no de un estudio con pacientes</w:t>
      </w:r>
      <w:commentRangeEnd w:id="49"/>
      <w:r w:rsidR="00DE180E">
        <w:rPr>
          <w:rStyle w:val="Refdecomentario"/>
          <w:rFonts w:ascii="Arial" w:eastAsia="Arial" w:hAnsi="Arial"/>
          <w:sz w:val="24"/>
          <w:szCs w:val="24"/>
        </w:rPr>
        <w:commentReference w:id="49"/>
      </w:r>
      <w:r>
        <w:rPr>
          <w:rFonts w:ascii="Arial" w:eastAsia="Arial" w:hAnsi="Arial"/>
          <w:sz w:val="24"/>
        </w:rPr>
        <w:t>,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7E6E5B19" w14:textId="23C10AC4" w:rsidR="000E1F30" w:rsidRDefault="006031D9" w:rsidP="00D43D61">
      <w:pPr>
        <w:spacing w:after="120" w:line="360" w:lineRule="auto"/>
        <w:jc w:val="both"/>
      </w:pPr>
      <w:r>
        <w:rPr>
          <w:rFonts w:ascii="Arial" w:eastAsia="Arial" w:hAnsi="Arial"/>
          <w:sz w:val="24"/>
        </w:rPr>
        <w:t>Aun así, se resguardaron los principios de confidencialidad y de uso responsable de la información clínica</w:t>
      </w:r>
      <w:r w:rsidR="0012133E">
        <w:rPr>
          <w:rFonts w:ascii="Arial" w:eastAsia="Arial" w:hAnsi="Arial"/>
          <w:sz w:val="24"/>
        </w:rPr>
        <w:t>,</w:t>
      </w:r>
      <w:r>
        <w:rPr>
          <w:rFonts w:ascii="Arial" w:eastAsia="Arial" w:hAnsi="Arial"/>
          <w:sz w:val="24"/>
        </w:rP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w:t>
      </w:r>
      <w:commentRangeStart w:id="50"/>
      <w:r>
        <w:rPr>
          <w:rFonts w:ascii="Arial" w:eastAsia="Arial" w:hAnsi="Arial"/>
          <w:sz w:val="24"/>
        </w:rPr>
        <w:t>a la práctica.</w:t>
      </w:r>
      <w:commentRangeEnd w:id="50"/>
      <w:r w:rsidR="00F82540">
        <w:rPr>
          <w:rStyle w:val="Refdecomentario"/>
          <w:sz w:val="24"/>
          <w:szCs w:val="24"/>
        </w:rPr>
        <w:commentReference w:id="50"/>
      </w:r>
    </w:p>
    <w:p w14:paraId="53CF86FF" w14:textId="252871B8" w:rsidR="000E1F30" w:rsidRDefault="7E8C999B" w:rsidP="10550309">
      <w:r>
        <w:br w:type="page"/>
      </w:r>
    </w:p>
    <w:p w14:paraId="70C02971" w14:textId="2D78255D" w:rsidR="000E1F30" w:rsidRDefault="4B46B525">
      <w:pPr>
        <w:pStyle w:val="Ttulo1"/>
      </w:pPr>
      <w:bookmarkStart w:id="51" w:name="_Toc234430367"/>
      <w:bookmarkStart w:id="52" w:name="_Toc234959477"/>
      <w:r>
        <w:lastRenderedPageBreak/>
        <w:t>Bibliografía</w:t>
      </w:r>
      <w:bookmarkEnd w:id="51"/>
      <w:bookmarkEnd w:id="52"/>
    </w:p>
    <w:p w14:paraId="5991A709" w14:textId="77777777" w:rsidR="000E1F30" w:rsidRDefault="006031D9">
      <w:pPr>
        <w:spacing w:after="120" w:line="360" w:lineRule="auto"/>
        <w:ind w:left="720" w:hanging="720"/>
        <w:jc w:val="both"/>
      </w:pPr>
      <w:r>
        <w:rPr>
          <w:rFonts w:ascii="Arial" w:eastAsia="Arial" w:hAnsi="Arial"/>
          <w:sz w:val="24"/>
        </w:rPr>
        <w:t>Batalla, J., Blanquer, A., Ciurana, R., García, M., Margalef, I., &amp; Pérez, A. (1984). Cumplimiento de la prescripción farmacológica en pacientes hipertensos. Medicina Clínica, 82(2), 56-59.</w:t>
      </w:r>
    </w:p>
    <w:p w14:paraId="16EFB79A" w14:textId="55D4822C" w:rsidR="000E1F30" w:rsidRDefault="006031D9">
      <w:pPr>
        <w:spacing w:after="120" w:line="360" w:lineRule="auto"/>
        <w:ind w:left="720" w:hanging="720"/>
        <w:jc w:val="both"/>
      </w:pPr>
      <w:r w:rsidRPr="0070228B">
        <w:rPr>
          <w:rFonts w:ascii="Arial" w:eastAsia="Arial" w:hAnsi="Arial"/>
          <w:sz w:val="24"/>
          <w:lang w:val="en-US"/>
        </w:rPr>
        <w:t xml:space="preserve">Bonal, J., Alerany, C., Bassons, T., &amp; Gascón, P. (2003). </w:t>
      </w:r>
      <w:r>
        <w:rPr>
          <w:rFonts w:ascii="Arial" w:eastAsia="Arial" w:hAnsi="Arial"/>
          <w:sz w:val="24"/>
        </w:rPr>
        <w:t xml:space="preserve">Farmacia clínica y </w:t>
      </w:r>
      <w:r w:rsidR="001E3629">
        <w:rPr>
          <w:rFonts w:ascii="Arial" w:eastAsia="Arial" w:hAnsi="Arial"/>
          <w:sz w:val="24"/>
        </w:rPr>
        <w:t>Atención Farmacéutica</w:t>
      </w:r>
      <w:r>
        <w:rPr>
          <w:rFonts w:ascii="Arial" w:eastAsia="Arial" w:hAnsi="Arial"/>
          <w:sz w:val="24"/>
        </w:rPr>
        <w:t>. Sociedad Española de Farmacia Hospitalaria.</w:t>
      </w:r>
    </w:p>
    <w:p w14:paraId="03D281B1" w14:textId="77777777" w:rsidR="000E1F30" w:rsidRDefault="006031D9">
      <w:pPr>
        <w:spacing w:after="120" w:line="360" w:lineRule="auto"/>
        <w:ind w:left="720" w:hanging="720"/>
        <w:jc w:val="both"/>
      </w:pPr>
      <w:r>
        <w:rPr>
          <w:rFonts w:ascii="Arial" w:eastAsia="Arial" w:hAnsi="Arial"/>
          <w:sz w:val="24"/>
        </w:rPr>
        <w:t>Calleja Hernández, M. Á., &amp; Morillo Verdugo, R. (Eds.). (2016). El modelo CMO en consultas externas de farmacia hospitalaria. Sociedad Española de Farmacia Hospitalaria.</w:t>
      </w:r>
    </w:p>
    <w:p w14:paraId="72AD53CC" w14:textId="77777777" w:rsidR="000E1F30" w:rsidRDefault="006031D9">
      <w:pPr>
        <w:spacing w:after="120" w:line="360" w:lineRule="auto"/>
        <w:ind w:left="720" w:hanging="720"/>
        <w:jc w:val="both"/>
      </w:pPr>
      <w:r>
        <w:rPr>
          <w:rFonts w:ascii="Arial" w:eastAsia="Arial" w:hAnsi="Arial"/>
          <w:sz w:val="24"/>
        </w:rPr>
        <w:t>Comité de Consenso de Granada. (2007). Tercer Consenso de Granada sobre problemas relacionados con medicamentos (PRM) y resultados negativos asociados a la medicación (RNM). Ars Pharmaceutica, 48(1), 5-17.</w:t>
      </w:r>
    </w:p>
    <w:p w14:paraId="3E4FCF8A" w14:textId="77777777" w:rsidR="000E1F30" w:rsidRDefault="006031D9">
      <w:pPr>
        <w:spacing w:after="120" w:line="360" w:lineRule="auto"/>
        <w:ind w:left="720" w:hanging="720"/>
        <w:jc w:val="both"/>
      </w:pPr>
      <w:r>
        <w:rPr>
          <w:rFonts w:ascii="Arial" w:eastAsia="Arial" w:hAnsi="Arial"/>
          <w:sz w:val="24"/>
        </w:rPr>
        <w:t>COSADES. (s.f.). Historia y desarrollo institucional del CESFAM Villa Nonguén. Corporación de Salud y Desarrollo Social. https://www.cosades.cl</w:t>
      </w:r>
    </w:p>
    <w:p w14:paraId="72618BDC" w14:textId="77777777" w:rsidR="000E1F30" w:rsidRDefault="006031D9">
      <w:pPr>
        <w:spacing w:after="120" w:line="360" w:lineRule="auto"/>
        <w:ind w:left="720" w:hanging="720"/>
        <w:jc w:val="both"/>
      </w:pPr>
      <w:r>
        <w:rPr>
          <w:rFonts w:ascii="Arial" w:eastAsia="Arial" w:hAnsi="Arial"/>
          <w:sz w:val="24"/>
        </w:rPr>
        <w:t>Delgado, O., Anoz, L., Serrano, A., &amp; Nicolás, J. (2007). Conciliación farmacoterapéutica como garantía de continuidad asistencial. Sociedad Española de Farmacia Hospitalaria.</w:t>
      </w:r>
    </w:p>
    <w:p w14:paraId="16D9A685" w14:textId="5446F68F" w:rsidR="000E1F30" w:rsidRDefault="006031D9">
      <w:pPr>
        <w:spacing w:after="120" w:line="360" w:lineRule="auto"/>
        <w:ind w:left="720" w:hanging="720"/>
        <w:jc w:val="both"/>
      </w:pPr>
      <w:r>
        <w:rPr>
          <w:rFonts w:ascii="Arial" w:eastAsia="Arial" w:hAnsi="Arial"/>
          <w:sz w:val="24"/>
        </w:rPr>
        <w:t xml:space="preserve">Diario Concepción. (2017). La historia del Cesfam que rompió paradigmas de la salud </w:t>
      </w:r>
      <w:r w:rsidR="00D13CEF">
        <w:rPr>
          <w:rFonts w:ascii="Arial" w:eastAsia="Arial" w:hAnsi="Arial"/>
          <w:sz w:val="24"/>
        </w:rPr>
        <w:t>pública. https://www.diarioconcepcion.cl/ciudad/2017/03/11/la-historia-del-cesfam-que-rompio-paradigmas-de-la-salud-publica-2.html</w:t>
      </w:r>
    </w:p>
    <w:p w14:paraId="2166F4D6" w14:textId="1AE1E34D" w:rsidR="000E1F30" w:rsidRDefault="006031D9">
      <w:pPr>
        <w:spacing w:after="120" w:line="360" w:lineRule="auto"/>
        <w:ind w:left="720" w:hanging="720"/>
        <w:jc w:val="both"/>
      </w:pPr>
      <w:r>
        <w:rPr>
          <w:rFonts w:ascii="Arial" w:eastAsia="Arial" w:hAnsi="Arial"/>
          <w:sz w:val="24"/>
        </w:rPr>
        <w:t xml:space="preserve">Faúndez Navarrete, P. A. (2020). Evaluación del programa de </w:t>
      </w:r>
      <w:r w:rsidR="001E3629">
        <w:rPr>
          <w:rFonts w:ascii="Arial" w:eastAsia="Arial" w:hAnsi="Arial"/>
          <w:sz w:val="24"/>
        </w:rPr>
        <w:t>Atención Farmacéutica</w:t>
      </w:r>
      <w:r>
        <w:rPr>
          <w:rFonts w:ascii="Arial" w:eastAsia="Arial" w:hAnsi="Arial"/>
          <w:sz w:val="24"/>
        </w:rPr>
        <w:t xml:space="preserve"> del CESFAM Villa Nonguén [Memoria de título, Universidad de Concepción].</w:t>
      </w:r>
    </w:p>
    <w:p w14:paraId="543A37E6" w14:textId="77777777" w:rsidR="000E1F30" w:rsidRPr="0070228B" w:rsidRDefault="006031D9">
      <w:pPr>
        <w:spacing w:after="120" w:line="360" w:lineRule="auto"/>
        <w:ind w:left="720" w:hanging="720"/>
        <w:jc w:val="both"/>
        <w:rPr>
          <w:lang w:val="en-US"/>
        </w:rPr>
      </w:pPr>
      <w:r w:rsidRPr="0070228B">
        <w:rPr>
          <w:rFonts w:ascii="Arial" w:eastAsia="Arial" w:hAnsi="Arial"/>
          <w:sz w:val="24"/>
          <w:lang w:val="en-US"/>
        </w:rPr>
        <w:t>Forrey, R. A., Pedersen, C. A., &amp; Schneider, P. J. (2007). Interrater agreement with a standard scheme for classifying medication errors. American Journal of Health-System Pharmacy, 64(2), 175-181.</w:t>
      </w:r>
    </w:p>
    <w:p w14:paraId="54957D12" w14:textId="77777777" w:rsidR="000E1F30" w:rsidRPr="0070228B" w:rsidRDefault="006031D9">
      <w:pPr>
        <w:spacing w:after="120" w:line="360" w:lineRule="auto"/>
        <w:ind w:left="720" w:hanging="720"/>
        <w:jc w:val="both"/>
        <w:rPr>
          <w:lang w:val="en-US"/>
        </w:rPr>
      </w:pPr>
      <w:r w:rsidRPr="0070228B">
        <w:rPr>
          <w:rFonts w:ascii="Arial" w:eastAsia="Arial" w:hAnsi="Arial"/>
          <w:sz w:val="24"/>
          <w:lang w:val="en-US"/>
        </w:rPr>
        <w:t>Haynes, R. B., Taylor, D. W., &amp; Sackett, D. L. (1979). Compliance in health care. Johns Hopkins University Press.</w:t>
      </w:r>
    </w:p>
    <w:p w14:paraId="2641DBD1" w14:textId="48E99194" w:rsidR="000E1F30" w:rsidRDefault="006031D9">
      <w:pPr>
        <w:spacing w:after="120" w:line="360" w:lineRule="auto"/>
        <w:ind w:left="720" w:hanging="720"/>
        <w:jc w:val="both"/>
      </w:pPr>
      <w:r>
        <w:rPr>
          <w:rFonts w:ascii="Arial" w:eastAsia="Arial" w:hAnsi="Arial"/>
          <w:sz w:val="24"/>
        </w:rPr>
        <w:lastRenderedPageBreak/>
        <w:t xml:space="preserve">Juárez Giménez, J. C., &amp; Morillo Verdugo, R. (Eds.). (2026). Adaptación del modelo de </w:t>
      </w:r>
      <w:r w:rsidR="001E3629">
        <w:rPr>
          <w:rFonts w:ascii="Arial" w:eastAsia="Arial" w:hAnsi="Arial"/>
          <w:sz w:val="24"/>
        </w:rPr>
        <w:t>Atención Farmacéutica</w:t>
      </w:r>
      <w:r>
        <w:rPr>
          <w:rFonts w:ascii="Arial" w:eastAsia="Arial" w:hAnsi="Arial"/>
          <w:sz w:val="24"/>
        </w:rPr>
        <w:t xml:space="preserve"> CMO al paciente con coagulopatías congénitas. Sociedad Española de Farmacia Hospitalaria.</w:t>
      </w:r>
    </w:p>
    <w:p w14:paraId="54444EBA" w14:textId="08E449A6" w:rsidR="000E1F30" w:rsidRDefault="006031D9">
      <w:pPr>
        <w:spacing w:after="120" w:line="360" w:lineRule="auto"/>
        <w:ind w:left="720" w:hanging="720"/>
        <w:jc w:val="both"/>
      </w:pPr>
      <w:r>
        <w:rPr>
          <w:rFonts w:ascii="Arial" w:eastAsia="Arial" w:hAnsi="Arial"/>
          <w:sz w:val="24"/>
        </w:rPr>
        <w:t xml:space="preserve">Manzano García, M., &amp; Morillo Verdugo, R. (2018). Aprendizaje y aplicación del modelo de </w:t>
      </w:r>
      <w:r w:rsidR="001E3629">
        <w:rPr>
          <w:rFonts w:ascii="Arial" w:eastAsia="Arial" w:hAnsi="Arial"/>
          <w:sz w:val="24"/>
        </w:rPr>
        <w:t>Atención Farmacéutica</w:t>
      </w:r>
      <w:r>
        <w:rPr>
          <w:rFonts w:ascii="Arial" w:eastAsia="Arial" w:hAnsi="Arial"/>
          <w:sz w:val="24"/>
        </w:rPr>
        <w:t xml:space="preserve"> CMO para residentes de farmacia hospitalaria. Sociedad Española de Farmacia Hospitalaria.</w:t>
      </w:r>
    </w:p>
    <w:p w14:paraId="3A96B92E" w14:textId="06303491" w:rsidR="000E1F30" w:rsidRDefault="006031D9">
      <w:pPr>
        <w:spacing w:after="120" w:line="360" w:lineRule="auto"/>
        <w:ind w:left="720" w:hanging="720"/>
        <w:jc w:val="both"/>
      </w:pPr>
      <w:r>
        <w:rPr>
          <w:rFonts w:ascii="Arial" w:eastAsia="Arial" w:hAnsi="Arial"/>
          <w:sz w:val="24"/>
        </w:rPr>
        <w:t xml:space="preserve">Manzano García, M., Morillo Verdugo, R., &amp; Álvarez de Sotomayor Paz, M. (2018). Aprendizaje y aplicación práctica del modelo CMO de </w:t>
      </w:r>
      <w:r w:rsidR="001E3629">
        <w:rPr>
          <w:rFonts w:ascii="Arial" w:eastAsia="Arial" w:hAnsi="Arial"/>
          <w:sz w:val="24"/>
        </w:rPr>
        <w:t>Atención Farmacéutica</w:t>
      </w:r>
      <w:r>
        <w:rPr>
          <w:rFonts w:ascii="Arial" w:eastAsia="Arial" w:hAnsi="Arial"/>
          <w:sz w:val="24"/>
        </w:rPr>
        <w:t xml:space="preserve"> para alumnos del grado en Farmacia. Sociedad Española de Farmacia Hospitalaria.</w:t>
      </w:r>
    </w:p>
    <w:p w14:paraId="6DF562BC" w14:textId="77777777" w:rsidR="000E1F30" w:rsidRDefault="006031D9">
      <w:pPr>
        <w:spacing w:after="120" w:line="360" w:lineRule="auto"/>
        <w:ind w:left="720" w:hanging="720"/>
        <w:jc w:val="both"/>
      </w:pPr>
      <w:r>
        <w:rPr>
          <w:rFonts w:ascii="Arial" w:eastAsia="Arial" w:hAnsi="Arial"/>
          <w:sz w:val="24"/>
        </w:rPr>
        <w:t>Martín Alfonso, L. (2004). Acerca del concepto de adherencia terapéutica. Revista Cubana de Salud Pública, 30(4).</w:t>
      </w:r>
    </w:p>
    <w:p w14:paraId="43D4DFFC" w14:textId="77777777" w:rsidR="000E1F30" w:rsidRDefault="006031D9">
      <w:pPr>
        <w:spacing w:after="120" w:line="360" w:lineRule="auto"/>
        <w:ind w:left="720" w:hanging="720"/>
        <w:jc w:val="both"/>
      </w:pPr>
      <w:r>
        <w:rPr>
          <w:rFonts w:ascii="Arial" w:eastAsia="Arial" w:hAnsi="Arial"/>
          <w:sz w:val="24"/>
        </w:rPr>
        <w:t>Ministerio de Salud de Chile. (2017a). Encuesta Nacional de Salud 2016-2017. Gobierno de Chile.</w:t>
      </w:r>
    </w:p>
    <w:p w14:paraId="6012D610" w14:textId="77777777" w:rsidR="000E1F30" w:rsidRDefault="006031D9">
      <w:pPr>
        <w:spacing w:after="120" w:line="360" w:lineRule="auto"/>
        <w:ind w:left="720" w:hanging="720"/>
        <w:jc w:val="both"/>
      </w:pPr>
      <w:r>
        <w:rPr>
          <w:rFonts w:ascii="Arial" w:eastAsia="Arial" w:hAnsi="Arial"/>
          <w:sz w:val="24"/>
        </w:rPr>
        <w:t>Ministerio de Salud de Chile. (2017b). Orientación técnica Programa de Salud Cardiovascular. Gobierno de Chile.</w:t>
      </w:r>
    </w:p>
    <w:p w14:paraId="4BF86922" w14:textId="51EBCAEA" w:rsidR="000E1F30" w:rsidRDefault="006031D9">
      <w:pPr>
        <w:spacing w:after="120" w:line="360" w:lineRule="auto"/>
        <w:ind w:left="720" w:hanging="720"/>
        <w:jc w:val="both"/>
      </w:pPr>
      <w:r>
        <w:rPr>
          <w:rFonts w:ascii="Arial" w:eastAsia="Arial" w:hAnsi="Arial"/>
          <w:sz w:val="24"/>
        </w:rPr>
        <w:t xml:space="preserve">Ministerio de Salud de Chile. (2018a). Guía de </w:t>
      </w:r>
      <w:r w:rsidR="001E3629">
        <w:rPr>
          <w:rFonts w:ascii="Arial" w:eastAsia="Arial" w:hAnsi="Arial"/>
          <w:sz w:val="24"/>
        </w:rPr>
        <w:t>Atención Farmacéutica</w:t>
      </w:r>
      <w:r>
        <w:rPr>
          <w:rFonts w:ascii="Arial" w:eastAsia="Arial" w:hAnsi="Arial"/>
          <w:sz w:val="24"/>
        </w:rPr>
        <w:t xml:space="preserve"> y seguimiento farmacoterapéutico en APS. Gobierno de Chile.</w:t>
      </w:r>
    </w:p>
    <w:p w14:paraId="4906F29A" w14:textId="77777777" w:rsidR="000E1F30" w:rsidRDefault="006031D9">
      <w:pPr>
        <w:spacing w:after="120" w:line="360" w:lineRule="auto"/>
        <w:ind w:left="720" w:hanging="720"/>
        <w:jc w:val="both"/>
      </w:pPr>
      <w:r>
        <w:rPr>
          <w:rFonts w:ascii="Arial" w:eastAsia="Arial" w:hAnsi="Arial"/>
          <w:sz w:val="24"/>
        </w:rPr>
        <w:t>Ministerio de Salud de Chile. (2018b). Orientación técnica Fondo de Farmacia. Gobierno de Chile.</w:t>
      </w:r>
    </w:p>
    <w:p w14:paraId="5764E91C" w14:textId="77777777" w:rsidR="000E1F30" w:rsidRDefault="006031D9">
      <w:pPr>
        <w:spacing w:after="120" w:line="360" w:lineRule="auto"/>
        <w:ind w:left="720" w:hanging="720"/>
        <w:jc w:val="both"/>
      </w:pPr>
      <w:r>
        <w:rPr>
          <w:rFonts w:ascii="Arial" w:eastAsia="Arial" w:hAnsi="Arial"/>
          <w:sz w:val="24"/>
        </w:rPr>
        <w:t>Ministerio de Salud de Chile. (2019). Manual de seguimiento farmacoterapéutico en usuarios ambulatorios. Gobierno de Chile.</w:t>
      </w:r>
    </w:p>
    <w:p w14:paraId="42BCEC06" w14:textId="0B975BEE" w:rsidR="000E1F30" w:rsidRDefault="006031D9">
      <w:pPr>
        <w:spacing w:after="120" w:line="360" w:lineRule="auto"/>
        <w:ind w:left="720" w:hanging="720"/>
        <w:jc w:val="both"/>
      </w:pPr>
      <w:r>
        <w:rPr>
          <w:rFonts w:ascii="Arial" w:eastAsia="Arial" w:hAnsi="Arial"/>
          <w:sz w:val="24"/>
        </w:rPr>
        <w:t xml:space="preserve">Ministerio de Salud de Chile. (2020). Resolución Exenta </w:t>
      </w:r>
      <w:r w:rsidR="00D43D61">
        <w:rPr>
          <w:rFonts w:ascii="Arial" w:eastAsia="Arial" w:hAnsi="Arial"/>
          <w:sz w:val="24"/>
        </w:rPr>
        <w:t>N.º</w:t>
      </w:r>
      <w:r>
        <w:rPr>
          <w:rFonts w:ascii="Arial" w:eastAsia="Arial" w:hAnsi="Arial"/>
          <w:sz w:val="24"/>
        </w:rPr>
        <w:t xml:space="preserve"> 51: Aprueba Programa Fondo de Farmacia para Enfermedades Crónicas no Transmisibles. Gobierno de Chile.</w:t>
      </w:r>
    </w:p>
    <w:p w14:paraId="6B13D2DC" w14:textId="77777777" w:rsidR="000E1F30" w:rsidRDefault="006031D9">
      <w:pPr>
        <w:spacing w:after="120" w:line="360" w:lineRule="auto"/>
        <w:ind w:left="720" w:hanging="720"/>
        <w:jc w:val="both"/>
      </w:pPr>
      <w:r>
        <w:rPr>
          <w:rFonts w:ascii="Arial" w:eastAsia="Arial" w:hAnsi="Arial"/>
          <w:sz w:val="24"/>
        </w:rPr>
        <w:t>Morales, R., &amp; Estela, L. (2015). La adherencia al tratamiento en las enfermedades crónicas. Revista Cubana de Angiología y Cirugía Vascular, 16(2), 175-189.</w:t>
      </w:r>
    </w:p>
    <w:p w14:paraId="19957E98" w14:textId="77777777" w:rsidR="000E1F30" w:rsidRDefault="006031D9">
      <w:pPr>
        <w:spacing w:after="120" w:line="360" w:lineRule="auto"/>
        <w:ind w:left="720" w:hanging="720"/>
        <w:jc w:val="both"/>
      </w:pPr>
      <w:r>
        <w:rPr>
          <w:rFonts w:ascii="Arial" w:eastAsia="Arial" w:hAnsi="Arial"/>
          <w:sz w:val="24"/>
        </w:rPr>
        <w:t xml:space="preserve">Morisky, D. E., Green, L. W., &amp; Levine, D. M. (1986). </w:t>
      </w:r>
      <w:r w:rsidRPr="0070228B">
        <w:rPr>
          <w:rFonts w:ascii="Arial" w:eastAsia="Arial" w:hAnsi="Arial"/>
          <w:sz w:val="24"/>
          <w:lang w:val="en-US"/>
        </w:rPr>
        <w:t xml:space="preserve">Concurrent and predictive validity of a self-reported measure of medication adherence. </w:t>
      </w:r>
      <w:r>
        <w:rPr>
          <w:rFonts w:ascii="Arial" w:eastAsia="Arial" w:hAnsi="Arial"/>
          <w:sz w:val="24"/>
        </w:rPr>
        <w:t>Medical Care, 24(1), 67-74.</w:t>
      </w:r>
    </w:p>
    <w:p w14:paraId="758473F0" w14:textId="368B384B" w:rsidR="000E1F30" w:rsidRDefault="006031D9" w:rsidP="00814D93">
      <w:pPr>
        <w:spacing w:after="120" w:line="360" w:lineRule="auto"/>
        <w:ind w:left="720" w:hanging="720"/>
        <w:jc w:val="both"/>
      </w:pPr>
      <w:r>
        <w:rPr>
          <w:rFonts w:ascii="Arial" w:eastAsia="Arial" w:hAnsi="Arial"/>
          <w:sz w:val="24"/>
        </w:rPr>
        <w:lastRenderedPageBreak/>
        <w:t>Plaza, C. (2018). Evaluación del impacto de los servicios farmacéuticos asistenciales: Programa POLARIS. Ars Pharmaceutica, 59(2), 8.</w:t>
      </w:r>
    </w:p>
    <w:p w14:paraId="3AED055B" w14:textId="5AEE5D26" w:rsidR="000E1F30" w:rsidRDefault="7E8C999B" w:rsidP="10550309">
      <w:r>
        <w:br w:type="page"/>
      </w:r>
    </w:p>
    <w:p w14:paraId="1D5BF69B" w14:textId="23C6B3AB" w:rsidR="000E1F30" w:rsidRDefault="4B46B525">
      <w:pPr>
        <w:pStyle w:val="Ttulo1"/>
      </w:pPr>
      <w:bookmarkStart w:id="53" w:name="_Toc234430368"/>
      <w:bookmarkStart w:id="54" w:name="_Toc234959478"/>
      <w:r>
        <w:lastRenderedPageBreak/>
        <w:t>Anexos</w:t>
      </w:r>
      <w:bookmarkEnd w:id="53"/>
      <w:bookmarkEnd w:id="54"/>
    </w:p>
    <w:p w14:paraId="4D5F9C10" w14:textId="77777777" w:rsidR="000E1F30" w:rsidRDefault="006031D9">
      <w:pPr>
        <w:spacing w:after="120" w:line="360" w:lineRule="auto"/>
        <w:jc w:val="both"/>
      </w:pPr>
      <w:r>
        <w:rPr>
          <w:rFonts w:ascii="Arial" w:eastAsia="Arial" w:hAnsi="Arial"/>
          <w:sz w:val="24"/>
        </w:rPr>
        <w:t>Los anexos reúnen los instrumentos de apoyo que acompañan al protocolo. Son formatos de trabajo pensados para usarse durante la visita domiciliaria y el seguimiento en el CESFAM, y pueden ajustarse a los registros propios del establecimiento.</w:t>
      </w:r>
    </w:p>
    <w:p w14:paraId="348786DF" w14:textId="045D319B" w:rsidR="000E1F30" w:rsidRDefault="4B46B525">
      <w:pPr>
        <w:pStyle w:val="Ttulo2"/>
      </w:pPr>
      <w:bookmarkStart w:id="55" w:name="_Toc234430369"/>
      <w:bookmarkStart w:id="56" w:name="_Toc234959479"/>
      <w:r>
        <w:t>Anexo 1. Ficha de conciliación farmacéutica</w:t>
      </w:r>
      <w:bookmarkEnd w:id="55"/>
      <w:bookmarkEnd w:id="56"/>
    </w:p>
    <w:p w14:paraId="588E91FD" w14:textId="77777777" w:rsidR="000E1F30" w:rsidRDefault="006031D9">
      <w:pPr>
        <w:spacing w:after="120" w:line="360" w:lineRule="auto"/>
        <w:jc w:val="both"/>
      </w:pPr>
      <w:r>
        <w:rPr>
          <w:rFonts w:ascii="Arial" w:eastAsia="Arial" w:hAnsi="Arial"/>
          <w:sz w:val="24"/>
        </w:rPr>
        <w:t>Permite comparar la medicación que el paciente tiene indicada con la que realmente usa, y dejar constancia de los cambios acordados con el equipo.</w:t>
      </w:r>
    </w:p>
    <w:p w14:paraId="0D08A211" w14:textId="77777777" w:rsidR="000E1F30" w:rsidRDefault="006031D9">
      <w:pPr>
        <w:pStyle w:val="Prrafodelista"/>
        <w:spacing w:after="80" w:line="360" w:lineRule="auto"/>
        <w:jc w:val="both"/>
      </w:pPr>
      <w:r>
        <w:rPr>
          <w:rFonts w:ascii="Arial" w:eastAsia="Arial" w:hAnsi="Arial"/>
          <w:sz w:val="24"/>
        </w:rPr>
        <w:t>•  Identificación del paciente, sector y fecha de la conciliación.</w:t>
      </w:r>
    </w:p>
    <w:p w14:paraId="1DFD0F24" w14:textId="77777777" w:rsidR="000E1F30" w:rsidRDefault="006031D9">
      <w:pPr>
        <w:pStyle w:val="Prrafodelista"/>
        <w:spacing w:after="80" w:line="360" w:lineRule="auto"/>
        <w:jc w:val="both"/>
      </w:pPr>
      <w:r>
        <w:rPr>
          <w:rFonts w:ascii="Arial" w:eastAsia="Arial" w:hAnsi="Arial"/>
          <w:sz w:val="24"/>
        </w:rPr>
        <w:t>•  Listado de medicamentos indicados, con dosis y horario.</w:t>
      </w:r>
    </w:p>
    <w:p w14:paraId="7F52492F" w14:textId="77777777" w:rsidR="000E1F30" w:rsidRDefault="006031D9">
      <w:pPr>
        <w:pStyle w:val="Prrafodelista"/>
        <w:spacing w:after="80" w:line="360" w:lineRule="auto"/>
        <w:jc w:val="both"/>
      </w:pPr>
      <w:r>
        <w:rPr>
          <w:rFonts w:ascii="Arial" w:eastAsia="Arial" w:hAnsi="Arial"/>
          <w:sz w:val="24"/>
        </w:rPr>
        <w:t>•  Medicamentos que el paciente realmente toma (incluidos los no prescritos y los de venta libre).</w:t>
      </w:r>
    </w:p>
    <w:p w14:paraId="78F07FFC" w14:textId="77777777" w:rsidR="000E1F30" w:rsidRDefault="006031D9">
      <w:pPr>
        <w:pStyle w:val="Prrafodelista"/>
        <w:spacing w:after="80" w:line="360" w:lineRule="auto"/>
        <w:jc w:val="both"/>
      </w:pPr>
      <w:r>
        <w:rPr>
          <w:rFonts w:ascii="Arial" w:eastAsia="Arial" w:hAnsi="Arial"/>
          <w:sz w:val="24"/>
        </w:rPr>
        <w:t>•  Diferencias detectadas y decisión adoptada (mantener, iniciar, suspender o ajustar).</w:t>
      </w:r>
    </w:p>
    <w:p w14:paraId="40A8A0B7" w14:textId="0056924F" w:rsidR="000E1F30" w:rsidRDefault="006031D9">
      <w:pPr>
        <w:pStyle w:val="Prrafodelista"/>
        <w:spacing w:after="80" w:line="360" w:lineRule="auto"/>
        <w:jc w:val="both"/>
      </w:pPr>
      <w:r>
        <w:rPr>
          <w:rFonts w:ascii="Arial" w:eastAsia="Arial" w:hAnsi="Arial"/>
          <w:sz w:val="24"/>
        </w:rPr>
        <w:t xml:space="preserve">•  Nombre y firma del </w:t>
      </w:r>
      <w:r w:rsidR="001E3629">
        <w:rPr>
          <w:rFonts w:ascii="Arial" w:eastAsia="Arial" w:hAnsi="Arial"/>
          <w:sz w:val="24"/>
        </w:rPr>
        <w:t>Químico Farmacéutico</w:t>
      </w:r>
      <w:r>
        <w:rPr>
          <w:rFonts w:ascii="Arial" w:eastAsia="Arial" w:hAnsi="Arial"/>
          <w:sz w:val="24"/>
        </w:rPr>
        <w:t>.</w:t>
      </w:r>
    </w:p>
    <w:p w14:paraId="4B9C82D5" w14:textId="25BFB13F" w:rsidR="000E1F30" w:rsidRDefault="4B46B525">
      <w:pPr>
        <w:pStyle w:val="Ttulo2"/>
      </w:pPr>
      <w:bookmarkStart w:id="57" w:name="_Toc234430370"/>
      <w:bookmarkStart w:id="58" w:name="_Toc234959480"/>
      <w:r>
        <w:t>Anexo 2. Test de adherencia de Morisky-Green-Levine</w:t>
      </w:r>
      <w:bookmarkEnd w:id="57"/>
      <w:bookmarkEnd w:id="58"/>
    </w:p>
    <w:p w14:paraId="0774E38F" w14:textId="4E5C951B" w:rsidR="000E1F30" w:rsidRDefault="7F07F010" w:rsidP="10550309">
      <w:pPr>
        <w:rPr>
          <w:rFonts w:ascii="Arial" w:eastAsia="Arial" w:hAnsi="Arial" w:cs="Arial"/>
          <w:b/>
          <w:bCs/>
          <w:sz w:val="24"/>
          <w:szCs w:val="24"/>
        </w:rPr>
      </w:pPr>
      <w:r w:rsidRPr="10550309">
        <w:rPr>
          <w:rFonts w:ascii="Arial" w:eastAsia="Arial" w:hAnsi="Arial" w:cs="Arial"/>
          <w:b/>
          <w:bCs/>
          <w:sz w:val="24"/>
          <w:szCs w:val="24"/>
        </w:rPr>
        <w:t xml:space="preserve">Tabla </w:t>
      </w:r>
      <w:r w:rsidR="256EC85E" w:rsidRPr="10550309">
        <w:rPr>
          <w:rFonts w:ascii="Arial" w:eastAsia="Arial" w:hAnsi="Arial" w:cs="Arial"/>
          <w:b/>
          <w:bCs/>
          <w:sz w:val="24"/>
          <w:szCs w:val="24"/>
        </w:rPr>
        <w:t>1</w:t>
      </w:r>
      <w:r w:rsidRPr="10550309">
        <w:rPr>
          <w:rFonts w:ascii="Arial" w:eastAsia="Arial" w:hAnsi="Arial" w:cs="Arial"/>
          <w:b/>
          <w:bCs/>
          <w:sz w:val="24"/>
          <w:szCs w:val="24"/>
        </w:rPr>
        <w:t>. Preguntas del test de Morisky-Green-Levine.</w:t>
      </w:r>
    </w:p>
    <w:tbl>
      <w:tblPr>
        <w:tblStyle w:val="Tablaconcuadrcula"/>
        <w:tblW w:w="0" w:type="auto"/>
        <w:jc w:val="center"/>
        <w:tblLook w:val="04A0" w:firstRow="1" w:lastRow="0" w:firstColumn="1" w:lastColumn="0" w:noHBand="0" w:noVBand="1"/>
      </w:tblPr>
      <w:tblGrid>
        <w:gridCol w:w="3130"/>
        <w:gridCol w:w="3132"/>
        <w:gridCol w:w="3132"/>
      </w:tblGrid>
      <w:tr w:rsidR="000E1F30" w14:paraId="5B33EE85" w14:textId="77777777">
        <w:trPr>
          <w:jc w:val="center"/>
        </w:trPr>
        <w:tc>
          <w:tcPr>
            <w:tcW w:w="3135" w:type="dxa"/>
          </w:tcPr>
          <w:p w14:paraId="6D1A2113" w14:textId="251C77F7" w:rsidR="000E1F30" w:rsidRDefault="00D13CEF">
            <w:r>
              <w:rPr>
                <w:rFonts w:ascii="Arial" w:eastAsia="Arial" w:hAnsi="Arial"/>
                <w:b/>
                <w:sz w:val="20"/>
              </w:rPr>
              <w:t>N.º</w:t>
            </w:r>
          </w:p>
        </w:tc>
        <w:tc>
          <w:tcPr>
            <w:tcW w:w="3135" w:type="dxa"/>
          </w:tcPr>
          <w:p w14:paraId="513F6A86" w14:textId="77777777" w:rsidR="000E1F30" w:rsidRDefault="006031D9">
            <w:r>
              <w:rPr>
                <w:rFonts w:ascii="Arial" w:eastAsia="Arial" w:hAnsi="Arial"/>
                <w:b/>
                <w:sz w:val="20"/>
              </w:rPr>
              <w:t>Pregunta</w:t>
            </w:r>
          </w:p>
        </w:tc>
        <w:tc>
          <w:tcPr>
            <w:tcW w:w="3135" w:type="dxa"/>
          </w:tcPr>
          <w:p w14:paraId="7D854840" w14:textId="77777777" w:rsidR="000E1F30" w:rsidRDefault="006031D9">
            <w:r>
              <w:rPr>
                <w:rFonts w:ascii="Arial" w:eastAsia="Arial" w:hAnsi="Arial"/>
                <w:b/>
                <w:sz w:val="20"/>
              </w:rPr>
              <w:t>Respuesta</w:t>
            </w:r>
          </w:p>
        </w:tc>
      </w:tr>
      <w:tr w:rsidR="000E1F30" w14:paraId="2C72FAE9" w14:textId="77777777">
        <w:trPr>
          <w:jc w:val="center"/>
        </w:trPr>
        <w:tc>
          <w:tcPr>
            <w:tcW w:w="3135" w:type="dxa"/>
          </w:tcPr>
          <w:p w14:paraId="649841BE" w14:textId="77777777" w:rsidR="000E1F30" w:rsidRDefault="006031D9">
            <w:r>
              <w:rPr>
                <w:rFonts w:ascii="Arial" w:eastAsia="Arial" w:hAnsi="Arial"/>
                <w:sz w:val="20"/>
              </w:rPr>
              <w:t>1</w:t>
            </w:r>
          </w:p>
        </w:tc>
        <w:tc>
          <w:tcPr>
            <w:tcW w:w="3135" w:type="dxa"/>
          </w:tcPr>
          <w:p w14:paraId="1041920C" w14:textId="77777777" w:rsidR="000E1F30" w:rsidRDefault="006031D9">
            <w:r>
              <w:rPr>
                <w:rFonts w:ascii="Arial" w:eastAsia="Arial" w:hAnsi="Arial"/>
                <w:sz w:val="20"/>
              </w:rPr>
              <w:t>¿Olvida alguna vez tomar sus medicamentos?</w:t>
            </w:r>
          </w:p>
        </w:tc>
        <w:tc>
          <w:tcPr>
            <w:tcW w:w="3135" w:type="dxa"/>
          </w:tcPr>
          <w:p w14:paraId="5618FB83" w14:textId="77777777" w:rsidR="000E1F30" w:rsidRDefault="006031D9">
            <w:r>
              <w:rPr>
                <w:rFonts w:ascii="Arial" w:eastAsia="Arial" w:hAnsi="Arial"/>
                <w:sz w:val="20"/>
              </w:rPr>
              <w:t>Sí / No</w:t>
            </w:r>
          </w:p>
        </w:tc>
      </w:tr>
      <w:tr w:rsidR="000E1F30" w14:paraId="296CB275" w14:textId="77777777">
        <w:trPr>
          <w:jc w:val="center"/>
        </w:trPr>
        <w:tc>
          <w:tcPr>
            <w:tcW w:w="3135" w:type="dxa"/>
          </w:tcPr>
          <w:p w14:paraId="18F999B5" w14:textId="77777777" w:rsidR="000E1F30" w:rsidRDefault="006031D9">
            <w:r>
              <w:rPr>
                <w:rFonts w:ascii="Arial" w:eastAsia="Arial" w:hAnsi="Arial"/>
                <w:sz w:val="20"/>
              </w:rPr>
              <w:t>2</w:t>
            </w:r>
          </w:p>
        </w:tc>
        <w:tc>
          <w:tcPr>
            <w:tcW w:w="3135" w:type="dxa"/>
          </w:tcPr>
          <w:p w14:paraId="0CE90A52" w14:textId="77777777" w:rsidR="000E1F30" w:rsidRDefault="006031D9">
            <w:r>
              <w:rPr>
                <w:rFonts w:ascii="Arial" w:eastAsia="Arial" w:hAnsi="Arial"/>
                <w:sz w:val="20"/>
              </w:rPr>
              <w:t>¿Toma los medicamentos a la hora indicada?</w:t>
            </w:r>
          </w:p>
        </w:tc>
        <w:tc>
          <w:tcPr>
            <w:tcW w:w="3135" w:type="dxa"/>
          </w:tcPr>
          <w:p w14:paraId="19BB2526" w14:textId="77777777" w:rsidR="000E1F30" w:rsidRDefault="006031D9">
            <w:r>
              <w:rPr>
                <w:rFonts w:ascii="Arial" w:eastAsia="Arial" w:hAnsi="Arial"/>
                <w:sz w:val="20"/>
              </w:rPr>
              <w:t>Sí / No</w:t>
            </w:r>
          </w:p>
        </w:tc>
      </w:tr>
      <w:tr w:rsidR="000E1F30" w14:paraId="26B159C8" w14:textId="77777777">
        <w:trPr>
          <w:jc w:val="center"/>
        </w:trPr>
        <w:tc>
          <w:tcPr>
            <w:tcW w:w="3135" w:type="dxa"/>
          </w:tcPr>
          <w:p w14:paraId="5FCD5EC4" w14:textId="77777777" w:rsidR="000E1F30" w:rsidRDefault="006031D9">
            <w:r>
              <w:rPr>
                <w:rFonts w:ascii="Arial" w:eastAsia="Arial" w:hAnsi="Arial"/>
                <w:sz w:val="20"/>
              </w:rPr>
              <w:t>3</w:t>
            </w:r>
          </w:p>
        </w:tc>
        <w:tc>
          <w:tcPr>
            <w:tcW w:w="3135" w:type="dxa"/>
          </w:tcPr>
          <w:p w14:paraId="68488E86" w14:textId="77777777" w:rsidR="000E1F30" w:rsidRDefault="006031D9">
            <w:r>
              <w:rPr>
                <w:rFonts w:ascii="Arial" w:eastAsia="Arial" w:hAnsi="Arial"/>
                <w:sz w:val="20"/>
              </w:rPr>
              <w:t>Cuando se siente bien, ¿deja de tomarlos?</w:t>
            </w:r>
          </w:p>
        </w:tc>
        <w:tc>
          <w:tcPr>
            <w:tcW w:w="3135" w:type="dxa"/>
          </w:tcPr>
          <w:p w14:paraId="6BB0413E" w14:textId="77777777" w:rsidR="000E1F30" w:rsidRDefault="006031D9">
            <w:r>
              <w:rPr>
                <w:rFonts w:ascii="Arial" w:eastAsia="Arial" w:hAnsi="Arial"/>
                <w:sz w:val="20"/>
              </w:rPr>
              <w:t>Sí / No</w:t>
            </w:r>
          </w:p>
        </w:tc>
      </w:tr>
      <w:tr w:rsidR="000E1F30" w14:paraId="55E04694" w14:textId="77777777">
        <w:trPr>
          <w:jc w:val="center"/>
        </w:trPr>
        <w:tc>
          <w:tcPr>
            <w:tcW w:w="3135" w:type="dxa"/>
          </w:tcPr>
          <w:p w14:paraId="2598DEE6" w14:textId="77777777" w:rsidR="000E1F30" w:rsidRDefault="006031D9">
            <w:r>
              <w:rPr>
                <w:rFonts w:ascii="Arial" w:eastAsia="Arial" w:hAnsi="Arial"/>
                <w:sz w:val="20"/>
              </w:rPr>
              <w:t>4</w:t>
            </w:r>
          </w:p>
        </w:tc>
        <w:tc>
          <w:tcPr>
            <w:tcW w:w="3135" w:type="dxa"/>
          </w:tcPr>
          <w:p w14:paraId="17885F60" w14:textId="77777777" w:rsidR="000E1F30" w:rsidRDefault="006031D9">
            <w:r>
              <w:rPr>
                <w:rFonts w:ascii="Arial" w:eastAsia="Arial" w:hAnsi="Arial"/>
                <w:sz w:val="20"/>
              </w:rPr>
              <w:t>Si alguna vez le sientan mal, ¿deja de tomarlos?</w:t>
            </w:r>
          </w:p>
        </w:tc>
        <w:tc>
          <w:tcPr>
            <w:tcW w:w="3135" w:type="dxa"/>
          </w:tcPr>
          <w:p w14:paraId="5C809BB0" w14:textId="77777777" w:rsidR="000E1F30" w:rsidRDefault="006031D9">
            <w:r>
              <w:rPr>
                <w:rFonts w:ascii="Arial" w:eastAsia="Arial" w:hAnsi="Arial"/>
                <w:sz w:val="20"/>
              </w:rPr>
              <w:t>Sí / No</w:t>
            </w:r>
          </w:p>
        </w:tc>
      </w:tr>
    </w:tbl>
    <w:p w14:paraId="3CD55070" w14:textId="77777777" w:rsidR="000E1F30" w:rsidRDefault="006031D9">
      <w:pPr>
        <w:spacing w:after="120" w:line="360" w:lineRule="auto"/>
        <w:jc w:val="both"/>
      </w:pPr>
      <w:r>
        <w:rPr>
          <w:rFonts w:ascii="Arial" w:eastAsia="Arial" w:hAnsi="Arial"/>
          <w:sz w:val="24"/>
        </w:rPr>
        <w:t>Se considera adherente al paciente que responde de la forma esperada las cuatro preguntas (no, sí, no, no). Cualquier otra combinación indica problemas de adherencia que conviene abordar en la entrevista.</w:t>
      </w:r>
    </w:p>
    <w:p w14:paraId="34762404" w14:textId="0F08B1C5" w:rsidR="000E1F30" w:rsidRDefault="4B46B525">
      <w:pPr>
        <w:pStyle w:val="Ttulo2"/>
      </w:pPr>
      <w:bookmarkStart w:id="59" w:name="_Toc234430371"/>
      <w:bookmarkStart w:id="60" w:name="_Toc234959481"/>
      <w:r>
        <w:t>Anexo 3. Ficha de seguimiento farmacoterapéutico</w:t>
      </w:r>
      <w:bookmarkEnd w:id="59"/>
      <w:bookmarkEnd w:id="60"/>
    </w:p>
    <w:p w14:paraId="06FA3F7B" w14:textId="77777777" w:rsidR="000E1F30" w:rsidRDefault="006031D9">
      <w:pPr>
        <w:spacing w:after="120" w:line="360" w:lineRule="auto"/>
        <w:jc w:val="both"/>
      </w:pPr>
      <w:r>
        <w:rPr>
          <w:rFonts w:ascii="Arial" w:eastAsia="Arial" w:hAnsi="Arial"/>
          <w:sz w:val="24"/>
        </w:rPr>
        <w:t>Registra, en cada entrevista, los antecedentes del paciente y el resultado de la intervención farmacéutica.</w:t>
      </w:r>
    </w:p>
    <w:p w14:paraId="2AE49B91" w14:textId="77777777" w:rsidR="000E1F30" w:rsidRDefault="006031D9">
      <w:pPr>
        <w:pStyle w:val="Prrafodelista"/>
        <w:spacing w:after="80" w:line="360" w:lineRule="auto"/>
        <w:jc w:val="both"/>
      </w:pPr>
      <w:r>
        <w:rPr>
          <w:rFonts w:ascii="Arial" w:eastAsia="Arial" w:hAnsi="Arial"/>
          <w:sz w:val="24"/>
        </w:rPr>
        <w:t>•  Datos generales, problemas de salud y exámenes disponibles.</w:t>
      </w:r>
    </w:p>
    <w:p w14:paraId="4E1AB2B4" w14:textId="77777777" w:rsidR="000E1F30" w:rsidRDefault="006031D9">
      <w:pPr>
        <w:pStyle w:val="Prrafodelista"/>
        <w:spacing w:after="80" w:line="360" w:lineRule="auto"/>
        <w:jc w:val="both"/>
      </w:pPr>
      <w:r>
        <w:rPr>
          <w:rFonts w:ascii="Arial" w:eastAsia="Arial" w:hAnsi="Arial"/>
          <w:sz w:val="24"/>
        </w:rPr>
        <w:t>•  Medicamentos, con pauta indicada y pauta usada.</w:t>
      </w:r>
    </w:p>
    <w:p w14:paraId="0B71F089" w14:textId="77777777" w:rsidR="000E1F30" w:rsidRDefault="006031D9">
      <w:pPr>
        <w:pStyle w:val="Prrafodelista"/>
        <w:spacing w:after="80" w:line="360" w:lineRule="auto"/>
        <w:jc w:val="both"/>
      </w:pPr>
      <w:r>
        <w:rPr>
          <w:rFonts w:ascii="Arial" w:eastAsia="Arial" w:hAnsi="Arial"/>
          <w:sz w:val="24"/>
        </w:rPr>
        <w:t>•  PRM y RNM detectados, con su clasificación.</w:t>
      </w:r>
    </w:p>
    <w:p w14:paraId="7F96DFE8" w14:textId="77777777" w:rsidR="000E1F30" w:rsidRDefault="006031D9">
      <w:pPr>
        <w:pStyle w:val="Prrafodelista"/>
        <w:spacing w:after="80" w:line="360" w:lineRule="auto"/>
        <w:jc w:val="both"/>
      </w:pPr>
      <w:r>
        <w:rPr>
          <w:rFonts w:ascii="Arial" w:eastAsia="Arial" w:hAnsi="Arial"/>
          <w:sz w:val="24"/>
        </w:rPr>
        <w:lastRenderedPageBreak/>
        <w:t>•  Intervenciones realizadas y su resultado (aceptada o no aceptada).</w:t>
      </w:r>
    </w:p>
    <w:p w14:paraId="370DA06A" w14:textId="77777777" w:rsidR="000E1F30" w:rsidRDefault="006031D9">
      <w:pPr>
        <w:pStyle w:val="Prrafodelista"/>
        <w:spacing w:after="80" w:line="360" w:lineRule="auto"/>
        <w:jc w:val="both"/>
      </w:pPr>
      <w:r>
        <w:rPr>
          <w:rFonts w:ascii="Arial" w:eastAsia="Arial" w:hAnsi="Arial"/>
          <w:sz w:val="24"/>
        </w:rPr>
        <w:t>•  Derivaciones y acuerdos con el médico u otros profesionales.</w:t>
      </w:r>
    </w:p>
    <w:p w14:paraId="3C3B18F3" w14:textId="133701C1" w:rsidR="000E1F30" w:rsidRDefault="4B46B525">
      <w:pPr>
        <w:pStyle w:val="Ttulo2"/>
      </w:pPr>
      <w:bookmarkStart w:id="61" w:name="_Toc234430372"/>
      <w:bookmarkStart w:id="62" w:name="_Toc234959482"/>
      <w:r>
        <w:t>Anexo 4. Hoja de esquema de horarios de medicación</w:t>
      </w:r>
      <w:bookmarkEnd w:id="61"/>
      <w:bookmarkEnd w:id="62"/>
    </w:p>
    <w:p w14:paraId="447ABC93" w14:textId="77777777" w:rsidR="000E1F30" w:rsidRDefault="006031D9">
      <w:pPr>
        <w:spacing w:after="120" w:line="360" w:lineRule="auto"/>
        <w:jc w:val="both"/>
      </w:pPr>
      <w:r>
        <w:rPr>
          <w:rFonts w:ascii="Arial" w:eastAsia="Arial" w:hAnsi="Arial"/>
          <w:sz w:val="24"/>
        </w:rPr>
        <w:t>Material de apoyo para el paciente y su cuidador, que ordena en una tabla simple qué medicamento tomar y a qué hora (mañana, mediodía, tarde y noche), con espacio para observaciones.</w:t>
      </w:r>
    </w:p>
    <w:p w14:paraId="2F146CDE" w14:textId="351405FF" w:rsidR="000E1F30" w:rsidRDefault="4B46B525">
      <w:pPr>
        <w:pStyle w:val="Ttulo2"/>
      </w:pPr>
      <w:bookmarkStart w:id="63" w:name="_Toc234430373"/>
      <w:bookmarkStart w:id="64" w:name="_Toc234959483"/>
      <w:r>
        <w:t>Anexo 5. Protocolo de llamada telefónica</w:t>
      </w:r>
      <w:bookmarkEnd w:id="63"/>
      <w:bookmarkEnd w:id="64"/>
    </w:p>
    <w:p w14:paraId="633679AD" w14:textId="77777777" w:rsidR="000E1F30" w:rsidRDefault="006031D9">
      <w:pPr>
        <w:spacing w:after="120" w:line="360" w:lineRule="auto"/>
        <w:jc w:val="both"/>
      </w:pPr>
      <w:r>
        <w:rPr>
          <w:rFonts w:ascii="Arial" w:eastAsia="Arial" w:hAnsi="Arial"/>
          <w:sz w:val="24"/>
        </w:rPr>
        <w:t>Guion breve para contactar y agendar al paciente antes de la visita.</w:t>
      </w:r>
    </w:p>
    <w:p w14:paraId="59EB045E" w14:textId="31C6A4D6" w:rsidR="000E1F30" w:rsidRDefault="006031D9">
      <w:pPr>
        <w:pStyle w:val="Prrafodelista"/>
        <w:spacing w:after="80" w:line="360" w:lineRule="auto"/>
        <w:jc w:val="both"/>
      </w:pPr>
      <w:r>
        <w:rPr>
          <w:rFonts w:ascii="Arial" w:eastAsia="Arial" w:hAnsi="Arial"/>
          <w:sz w:val="24"/>
        </w:rPr>
        <w:t xml:space="preserve">1.  Saludo e identificación como interno o </w:t>
      </w:r>
      <w:r w:rsidR="001E3629">
        <w:rPr>
          <w:rFonts w:ascii="Arial" w:eastAsia="Arial" w:hAnsi="Arial"/>
          <w:sz w:val="24"/>
        </w:rPr>
        <w:t>Químico Farmacéutico</w:t>
      </w:r>
      <w:r>
        <w:rPr>
          <w:rFonts w:ascii="Arial" w:eastAsia="Arial" w:hAnsi="Arial"/>
          <w:sz w:val="24"/>
        </w:rPr>
        <w:t xml:space="preserve"> del CESFAM.</w:t>
      </w:r>
    </w:p>
    <w:p w14:paraId="5F70E25A" w14:textId="77777777" w:rsidR="000E1F30" w:rsidRDefault="006031D9">
      <w:pPr>
        <w:pStyle w:val="Prrafodelista"/>
        <w:spacing w:after="80" w:line="360" w:lineRule="auto"/>
        <w:jc w:val="both"/>
      </w:pPr>
      <w:r>
        <w:rPr>
          <w:rFonts w:ascii="Arial" w:eastAsia="Arial" w:hAnsi="Arial"/>
          <w:sz w:val="24"/>
        </w:rPr>
        <w:t>2.  Explicación del motivo del llamado y del propósito de la visita.</w:t>
      </w:r>
    </w:p>
    <w:p w14:paraId="7BFC10D4" w14:textId="77777777" w:rsidR="000E1F30" w:rsidRDefault="006031D9">
      <w:pPr>
        <w:pStyle w:val="Prrafodelista"/>
        <w:spacing w:after="80" w:line="360" w:lineRule="auto"/>
        <w:jc w:val="both"/>
      </w:pPr>
      <w:r>
        <w:rPr>
          <w:rFonts w:ascii="Arial" w:eastAsia="Arial" w:hAnsi="Arial"/>
          <w:sz w:val="24"/>
        </w:rPr>
        <w:t>3.  Confirmación de la dirección y acuerdo de día y hora.</w:t>
      </w:r>
    </w:p>
    <w:p w14:paraId="0D6014A7" w14:textId="77777777" w:rsidR="000E1F30" w:rsidRDefault="006031D9">
      <w:pPr>
        <w:pStyle w:val="Prrafodelista"/>
        <w:spacing w:after="80" w:line="360" w:lineRule="auto"/>
        <w:jc w:val="both"/>
      </w:pPr>
      <w:r>
        <w:rPr>
          <w:rFonts w:ascii="Arial" w:eastAsia="Arial" w:hAnsi="Arial"/>
          <w:sz w:val="24"/>
        </w:rPr>
        <w:t>4.  Recordatorio de tener a mano sus medicamentos y recetas.</w:t>
      </w:r>
    </w:p>
    <w:p w14:paraId="7D2DB727" w14:textId="77777777" w:rsidR="000E1F30" w:rsidRDefault="006031D9">
      <w:pPr>
        <w:pStyle w:val="Prrafodelista"/>
        <w:spacing w:after="80" w:line="360" w:lineRule="auto"/>
        <w:jc w:val="both"/>
      </w:pPr>
      <w:r>
        <w:rPr>
          <w:rFonts w:ascii="Arial" w:eastAsia="Arial" w:hAnsi="Arial"/>
          <w:sz w:val="24"/>
        </w:rPr>
        <w:t>5.  Despedida y datos de contacto ante dudas.</w:t>
      </w:r>
    </w:p>
    <w:p w14:paraId="786F5608" w14:textId="410C6FED" w:rsidR="000E1F30" w:rsidRDefault="4B46B525">
      <w:pPr>
        <w:pStyle w:val="Ttulo2"/>
      </w:pPr>
      <w:bookmarkStart w:id="65" w:name="_Toc234430374"/>
      <w:bookmarkStart w:id="66" w:name="_Toc234959484"/>
      <w:r>
        <w:t>Anexo 6. Clasificación de los PRM y RNM</w:t>
      </w:r>
      <w:bookmarkEnd w:id="65"/>
      <w:bookmarkEnd w:id="66"/>
    </w:p>
    <w:p w14:paraId="14FEFFEF" w14:textId="5F79ADF6" w:rsidR="000E1F30" w:rsidRDefault="7F07F010" w:rsidP="10550309">
      <w:pPr>
        <w:rPr>
          <w:rFonts w:ascii="Arial" w:eastAsia="Arial" w:hAnsi="Arial" w:cs="Arial"/>
          <w:sz w:val="24"/>
          <w:szCs w:val="24"/>
        </w:rPr>
      </w:pPr>
      <w:r w:rsidRPr="10550309">
        <w:rPr>
          <w:rFonts w:ascii="Arial" w:eastAsia="Arial" w:hAnsi="Arial" w:cs="Arial"/>
          <w:sz w:val="24"/>
          <w:szCs w:val="24"/>
        </w:rPr>
        <w:t xml:space="preserve">Tabla </w:t>
      </w:r>
      <w:r w:rsidR="1E1CD108" w:rsidRPr="10550309">
        <w:rPr>
          <w:rFonts w:ascii="Arial" w:eastAsia="Arial" w:hAnsi="Arial" w:cs="Arial"/>
          <w:sz w:val="24"/>
          <w:szCs w:val="24"/>
        </w:rPr>
        <w:t>1</w:t>
      </w:r>
      <w:r w:rsidRPr="10550309">
        <w:rPr>
          <w:rFonts w:ascii="Arial" w:eastAsia="Arial" w:hAnsi="Arial" w:cs="Arial"/>
          <w:sz w:val="24"/>
          <w:szCs w:val="24"/>
        </w:rPr>
        <w:t>. Clasificación de los resultados negativos asociados a la medicación según el Consenso de Granada.</w:t>
      </w:r>
    </w:p>
    <w:tbl>
      <w:tblPr>
        <w:tblStyle w:val="Tablaconcuadrcula"/>
        <w:tblW w:w="0" w:type="auto"/>
        <w:jc w:val="center"/>
        <w:tblLook w:val="04A0" w:firstRow="1" w:lastRow="0" w:firstColumn="1" w:lastColumn="0" w:noHBand="0" w:noVBand="1"/>
      </w:tblPr>
      <w:tblGrid>
        <w:gridCol w:w="3131"/>
        <w:gridCol w:w="3132"/>
        <w:gridCol w:w="3131"/>
      </w:tblGrid>
      <w:tr w:rsidR="000E1F30" w14:paraId="67B84204" w14:textId="77777777">
        <w:trPr>
          <w:jc w:val="center"/>
        </w:trPr>
        <w:tc>
          <w:tcPr>
            <w:tcW w:w="3135" w:type="dxa"/>
          </w:tcPr>
          <w:p w14:paraId="6882D8E1" w14:textId="77777777" w:rsidR="000E1F30" w:rsidRDefault="006031D9">
            <w:r>
              <w:rPr>
                <w:rFonts w:ascii="Arial" w:eastAsia="Arial" w:hAnsi="Arial"/>
                <w:b/>
                <w:sz w:val="20"/>
              </w:rPr>
              <w:t>Dimensión</w:t>
            </w:r>
          </w:p>
        </w:tc>
        <w:tc>
          <w:tcPr>
            <w:tcW w:w="3135" w:type="dxa"/>
          </w:tcPr>
          <w:p w14:paraId="2272C9E9" w14:textId="77777777" w:rsidR="000E1F30" w:rsidRDefault="006031D9">
            <w:r>
              <w:rPr>
                <w:rFonts w:ascii="Arial" w:eastAsia="Arial" w:hAnsi="Arial"/>
                <w:b/>
                <w:sz w:val="20"/>
              </w:rPr>
              <w:t>Pregunta que orienta</w:t>
            </w:r>
          </w:p>
        </w:tc>
        <w:tc>
          <w:tcPr>
            <w:tcW w:w="3135" w:type="dxa"/>
          </w:tcPr>
          <w:p w14:paraId="4F589A21" w14:textId="77777777" w:rsidR="000E1F30" w:rsidRDefault="006031D9">
            <w:r>
              <w:rPr>
                <w:rFonts w:ascii="Arial" w:eastAsia="Arial" w:hAnsi="Arial"/>
                <w:b/>
                <w:sz w:val="20"/>
              </w:rPr>
              <w:t>Ejemplo</w:t>
            </w:r>
          </w:p>
        </w:tc>
      </w:tr>
      <w:tr w:rsidR="000E1F30" w14:paraId="6B0DDF7D" w14:textId="77777777">
        <w:trPr>
          <w:jc w:val="center"/>
        </w:trPr>
        <w:tc>
          <w:tcPr>
            <w:tcW w:w="3135" w:type="dxa"/>
          </w:tcPr>
          <w:p w14:paraId="1C4731E2" w14:textId="77777777" w:rsidR="000E1F30" w:rsidRDefault="006031D9">
            <w:r>
              <w:rPr>
                <w:rFonts w:ascii="Arial" w:eastAsia="Arial" w:hAnsi="Arial"/>
                <w:sz w:val="20"/>
              </w:rPr>
              <w:t>Necesidad</w:t>
            </w:r>
          </w:p>
        </w:tc>
        <w:tc>
          <w:tcPr>
            <w:tcW w:w="3135" w:type="dxa"/>
          </w:tcPr>
          <w:p w14:paraId="11DF0D5D" w14:textId="77777777" w:rsidR="000E1F30" w:rsidRDefault="006031D9">
            <w:r>
              <w:rPr>
                <w:rFonts w:ascii="Arial" w:eastAsia="Arial" w:hAnsi="Arial"/>
                <w:sz w:val="20"/>
              </w:rPr>
              <w:t>¿El paciente usa los medicamentos que necesita?</w:t>
            </w:r>
          </w:p>
        </w:tc>
        <w:tc>
          <w:tcPr>
            <w:tcW w:w="3135" w:type="dxa"/>
          </w:tcPr>
          <w:p w14:paraId="5A8A67E8" w14:textId="77777777" w:rsidR="000E1F30" w:rsidRDefault="006031D9">
            <w:r>
              <w:rPr>
                <w:rFonts w:ascii="Arial" w:eastAsia="Arial" w:hAnsi="Arial"/>
                <w:sz w:val="20"/>
              </w:rPr>
              <w:t>Toma un fármaco sin indicación, o falta uno que requiere.</w:t>
            </w:r>
          </w:p>
        </w:tc>
      </w:tr>
      <w:tr w:rsidR="000E1F30" w14:paraId="40B74E0F" w14:textId="77777777">
        <w:trPr>
          <w:jc w:val="center"/>
        </w:trPr>
        <w:tc>
          <w:tcPr>
            <w:tcW w:w="3135" w:type="dxa"/>
          </w:tcPr>
          <w:p w14:paraId="6062EDA7" w14:textId="77777777" w:rsidR="000E1F30" w:rsidRDefault="006031D9">
            <w:r>
              <w:rPr>
                <w:rFonts w:ascii="Arial" w:eastAsia="Arial" w:hAnsi="Arial"/>
                <w:sz w:val="20"/>
              </w:rPr>
              <w:t>Efectividad</w:t>
            </w:r>
          </w:p>
        </w:tc>
        <w:tc>
          <w:tcPr>
            <w:tcW w:w="3135" w:type="dxa"/>
          </w:tcPr>
          <w:p w14:paraId="0215DE44" w14:textId="77777777" w:rsidR="000E1F30" w:rsidRDefault="006031D9">
            <w:r>
              <w:rPr>
                <w:rFonts w:ascii="Arial" w:eastAsia="Arial" w:hAnsi="Arial"/>
                <w:sz w:val="20"/>
              </w:rPr>
              <w:t>¿El tratamiento logra el objetivo buscado?</w:t>
            </w:r>
          </w:p>
        </w:tc>
        <w:tc>
          <w:tcPr>
            <w:tcW w:w="3135" w:type="dxa"/>
          </w:tcPr>
          <w:p w14:paraId="1A26CD7C" w14:textId="77777777" w:rsidR="000E1F30" w:rsidRDefault="006031D9">
            <w:r>
              <w:rPr>
                <w:rFonts w:ascii="Arial" w:eastAsia="Arial" w:hAnsi="Arial"/>
                <w:sz w:val="20"/>
              </w:rPr>
              <w:t>No alcanza la meta terapéutica pese a usar el medicamento.</w:t>
            </w:r>
          </w:p>
        </w:tc>
      </w:tr>
      <w:tr w:rsidR="000E1F30" w14:paraId="2BBCFBD0" w14:textId="77777777">
        <w:trPr>
          <w:jc w:val="center"/>
        </w:trPr>
        <w:tc>
          <w:tcPr>
            <w:tcW w:w="3135" w:type="dxa"/>
          </w:tcPr>
          <w:p w14:paraId="493BD327" w14:textId="77777777" w:rsidR="000E1F30" w:rsidRDefault="006031D9">
            <w:r>
              <w:rPr>
                <w:rFonts w:ascii="Arial" w:eastAsia="Arial" w:hAnsi="Arial"/>
                <w:sz w:val="20"/>
              </w:rPr>
              <w:t>Seguridad</w:t>
            </w:r>
          </w:p>
        </w:tc>
        <w:tc>
          <w:tcPr>
            <w:tcW w:w="3135" w:type="dxa"/>
          </w:tcPr>
          <w:p w14:paraId="7DF5D9CD" w14:textId="77777777" w:rsidR="000E1F30" w:rsidRDefault="006031D9">
            <w:r>
              <w:rPr>
                <w:rFonts w:ascii="Arial" w:eastAsia="Arial" w:hAnsi="Arial"/>
                <w:sz w:val="20"/>
              </w:rPr>
              <w:t>¿El tratamiento es seguro para el paciente?</w:t>
            </w:r>
          </w:p>
        </w:tc>
        <w:tc>
          <w:tcPr>
            <w:tcW w:w="3135" w:type="dxa"/>
          </w:tcPr>
          <w:p w14:paraId="2A0D8C26" w14:textId="77777777" w:rsidR="000E1F30" w:rsidRDefault="006031D9">
            <w:r>
              <w:rPr>
                <w:rFonts w:ascii="Arial" w:eastAsia="Arial" w:hAnsi="Arial"/>
                <w:sz w:val="20"/>
              </w:rPr>
              <w:t>Aparece una reacción adversa o una interacción relevante.</w:t>
            </w:r>
          </w:p>
        </w:tc>
      </w:tr>
    </w:tbl>
    <w:p w14:paraId="6EDE4E2C" w14:textId="135E60B7" w:rsidR="000E1F30" w:rsidRDefault="4B46B525">
      <w:pPr>
        <w:pStyle w:val="Ttulo2"/>
      </w:pPr>
      <w:bookmarkStart w:id="67" w:name="_Toc234430375"/>
      <w:bookmarkStart w:id="68" w:name="_Toc234959485"/>
      <w:r>
        <w:t>Anexo 7. Medidas para la resolución de PRM</w:t>
      </w:r>
      <w:bookmarkEnd w:id="67"/>
      <w:bookmarkEnd w:id="68"/>
    </w:p>
    <w:p w14:paraId="54CA1F2C" w14:textId="49E6D307" w:rsidR="000E1F30" w:rsidRDefault="006031D9">
      <w:pPr>
        <w:spacing w:after="120" w:line="360" w:lineRule="auto"/>
        <w:jc w:val="both"/>
      </w:pPr>
      <w:r>
        <w:rPr>
          <w:rFonts w:ascii="Arial" w:eastAsia="Arial" w:hAnsi="Arial"/>
          <w:sz w:val="24"/>
        </w:rPr>
        <w:t xml:space="preserve">Según el problema detectado, la intervención farmacéutica puede orientar alguna de las siguientes medidas, siempre </w:t>
      </w:r>
      <w:r w:rsidR="00436989">
        <w:rPr>
          <w:rFonts w:ascii="Arial" w:eastAsia="Arial" w:hAnsi="Arial"/>
          <w:sz w:val="24"/>
        </w:rPr>
        <w:t>dejando la sugerencia al registrar la ficha clínica según el medico que corresponda</w:t>
      </w:r>
      <w:r>
        <w:rPr>
          <w:rFonts w:ascii="Arial" w:eastAsia="Arial" w:hAnsi="Arial"/>
          <w:sz w:val="24"/>
        </w:rPr>
        <w:t>:</w:t>
      </w:r>
    </w:p>
    <w:p w14:paraId="06E524A1" w14:textId="77777777" w:rsidR="000E1F30" w:rsidRDefault="006031D9">
      <w:pPr>
        <w:pStyle w:val="Prrafodelista"/>
        <w:spacing w:after="80" w:line="360" w:lineRule="auto"/>
        <w:jc w:val="both"/>
      </w:pPr>
      <w:r>
        <w:rPr>
          <w:rFonts w:ascii="Arial" w:eastAsia="Arial" w:hAnsi="Arial"/>
          <w:sz w:val="24"/>
        </w:rPr>
        <w:t>•  Ajustar la dosis (aumentarla o reducirla).</w:t>
      </w:r>
    </w:p>
    <w:p w14:paraId="403E7ED0" w14:textId="77777777" w:rsidR="000E1F30" w:rsidRDefault="006031D9">
      <w:pPr>
        <w:pStyle w:val="Prrafodelista"/>
        <w:spacing w:after="80" w:line="360" w:lineRule="auto"/>
        <w:jc w:val="both"/>
      </w:pPr>
      <w:r>
        <w:rPr>
          <w:rFonts w:ascii="Arial" w:eastAsia="Arial" w:hAnsi="Arial"/>
          <w:sz w:val="24"/>
        </w:rPr>
        <w:t>•  Modificar el horario de administración.</w:t>
      </w:r>
    </w:p>
    <w:p w14:paraId="2440193F" w14:textId="77777777" w:rsidR="000E1F30" w:rsidRDefault="006031D9">
      <w:pPr>
        <w:pStyle w:val="Prrafodelista"/>
        <w:spacing w:after="80" w:line="360" w:lineRule="auto"/>
        <w:jc w:val="both"/>
      </w:pPr>
      <w:r>
        <w:rPr>
          <w:rFonts w:ascii="Arial" w:eastAsia="Arial" w:hAnsi="Arial"/>
          <w:sz w:val="24"/>
        </w:rPr>
        <w:t>•  Iniciar o suspender un tratamiento.</w:t>
      </w:r>
    </w:p>
    <w:p w14:paraId="02797372" w14:textId="77777777" w:rsidR="000E1F30" w:rsidRDefault="006031D9">
      <w:pPr>
        <w:pStyle w:val="Prrafodelista"/>
        <w:spacing w:after="80" w:line="360" w:lineRule="auto"/>
        <w:jc w:val="both"/>
      </w:pPr>
      <w:r>
        <w:rPr>
          <w:rFonts w:ascii="Arial" w:eastAsia="Arial" w:hAnsi="Arial"/>
          <w:sz w:val="24"/>
        </w:rPr>
        <w:t>•  Cambiar por una alternativa terapéutica.</w:t>
      </w:r>
    </w:p>
    <w:p w14:paraId="43780E88" w14:textId="77777777" w:rsidR="000E1F30" w:rsidRDefault="006031D9">
      <w:pPr>
        <w:pStyle w:val="Prrafodelista"/>
        <w:spacing w:after="80" w:line="360" w:lineRule="auto"/>
        <w:jc w:val="both"/>
      </w:pPr>
      <w:r>
        <w:rPr>
          <w:rFonts w:ascii="Arial" w:eastAsia="Arial" w:hAnsi="Arial"/>
          <w:sz w:val="24"/>
        </w:rP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iego Jorquera Pereira" w:date="2026-07-15T00:24:00Z" w:initials="DJ">
    <w:p w14:paraId="61BAB503" w14:textId="77777777" w:rsidR="00562D96" w:rsidRDefault="00562D96" w:rsidP="00562D96">
      <w:pPr>
        <w:pStyle w:val="Textocomentario"/>
      </w:pPr>
      <w:r>
        <w:rPr>
          <w:rStyle w:val="Refdecomentario"/>
        </w:rPr>
        <w:annotationRef/>
      </w:r>
      <w:r>
        <w:t>El formato sigue mal, revisa los márgenes.</w:t>
      </w:r>
    </w:p>
    <w:p w14:paraId="52BF1738" w14:textId="77777777" w:rsidR="00562D96" w:rsidRDefault="00562D96" w:rsidP="00562D96">
      <w:pPr>
        <w:pStyle w:val="Textocomentario"/>
      </w:pPr>
      <w:r>
        <w:t>El número romano no se debe ver en la portada.</w:t>
      </w:r>
    </w:p>
    <w:p w14:paraId="710BFD64" w14:textId="77777777" w:rsidR="00562D96" w:rsidRDefault="00562D96" w:rsidP="00562D96">
      <w:pPr>
        <w:pStyle w:val="Textocomentario"/>
      </w:pPr>
      <w:r>
        <w:t>El logo solo va en la portada.</w:t>
      </w:r>
    </w:p>
  </w:comment>
  <w:comment w:id="1" w:author="Diego Jorquera Pereira" w:date="2026-07-15T00:24:00Z" w:initials="DJ">
    <w:p w14:paraId="74823426" w14:textId="77777777" w:rsidR="00562D96" w:rsidRDefault="00562D96" w:rsidP="00562D96">
      <w:pPr>
        <w:pStyle w:val="Textocomentario"/>
      </w:pPr>
      <w:r>
        <w:rPr>
          <w:rStyle w:val="Refdecomentario"/>
        </w:rPr>
        <w:annotationRef/>
      </w:r>
      <w:r>
        <w:t>Acá también hay que revisar el formato.</w:t>
      </w:r>
    </w:p>
  </w:comment>
  <w:comment w:id="2" w:author="Diego Jorquera Pereira" w:date="2026-07-15T00:24:00Z" w:initials="DJ">
    <w:p w14:paraId="567686B7" w14:textId="77777777" w:rsidR="00562D96" w:rsidRDefault="00562D96" w:rsidP="00562D96">
      <w:pPr>
        <w:pStyle w:val="Textocomentario"/>
      </w:pPr>
      <w:r>
        <w:rPr>
          <w:rStyle w:val="Refdecomentario"/>
        </w:rPr>
        <w:annotationRef/>
      </w:r>
      <w:r>
        <w:t>Revisa el tipo de letra</w:t>
      </w:r>
    </w:p>
  </w:comment>
  <w:comment w:id="9" w:author="Diego Jorquera Pereira" w:date="2026-07-15T09:32:00Z" w:initials="DJ">
    <w:p w14:paraId="55C5E245" w14:textId="77777777" w:rsidR="0047652F" w:rsidRDefault="0047652F" w:rsidP="0047652F">
      <w:pPr>
        <w:pStyle w:val="Textocomentario"/>
      </w:pPr>
      <w:r>
        <w:rPr>
          <w:rStyle w:val="Refdecomentario"/>
        </w:rPr>
        <w:annotationRef/>
      </w:r>
      <w:r>
        <w:t>Eso no es necesario agregarlo, se puede poner en la metodología donde se hizo o después en el marco teórico se da a entender cuando hablas de tu internado.</w:t>
      </w:r>
    </w:p>
  </w:comment>
  <w:comment w:id="10" w:author="Diego Jorquera Pereira" w:date="2026-07-15T09:41:00Z" w:initials="DJ">
    <w:p w14:paraId="1B5A49FC" w14:textId="77777777" w:rsidR="00332C0E" w:rsidRDefault="00332C0E" w:rsidP="00332C0E">
      <w:pPr>
        <w:pStyle w:val="Textocomentario"/>
      </w:pPr>
      <w:r>
        <w:rPr>
          <w:rStyle w:val="Refdecomentario"/>
        </w:rPr>
        <w:annotationRef/>
      </w:r>
      <w:r>
        <w:t xml:space="preserve">Todo esto debería ir al final. </w:t>
      </w:r>
    </w:p>
    <w:p w14:paraId="4C6180BE" w14:textId="77777777" w:rsidR="00332C0E" w:rsidRDefault="00332C0E" w:rsidP="00332C0E">
      <w:pPr>
        <w:pStyle w:val="Textocomentario"/>
      </w:pPr>
      <w:r>
        <w:t>Parte hablando de todos estos temas y se termina con la problemática del estudio.</w:t>
      </w:r>
    </w:p>
  </w:comment>
  <w:comment w:id="11" w:author="Diego Jorquera Pereira" w:date="2026-07-15T09:55:00Z" w:initials="DJ">
    <w:p w14:paraId="636DD145" w14:textId="77777777" w:rsidR="00135938" w:rsidRDefault="00135938" w:rsidP="00135938">
      <w:pPr>
        <w:pStyle w:val="Textocomentario"/>
      </w:pPr>
      <w:r>
        <w:rPr>
          <w:rStyle w:val="Refdecomentario"/>
        </w:rPr>
        <w:annotationRef/>
      </w:r>
      <w:r>
        <w:t>Las ideas no están mal, pero debiese ser de lo más macro a lo más micro, de lo general a lo más específico.</w:t>
      </w:r>
    </w:p>
    <w:p w14:paraId="0E745A46" w14:textId="77777777" w:rsidR="00135938" w:rsidRDefault="00135938" w:rsidP="00135938">
      <w:pPr>
        <w:pStyle w:val="Textocomentario"/>
      </w:pPr>
      <w:r>
        <w:t>Acá hablas de la problemática, pero no tenemos idea del tema.</w:t>
      </w:r>
    </w:p>
  </w:comment>
  <w:comment w:id="12" w:author="Diego Jorquera Pereira" w:date="2026-07-15T09:55:00Z" w:initials="DJ">
    <w:p w14:paraId="33640EDD" w14:textId="77777777" w:rsidR="00135938" w:rsidRDefault="00135938" w:rsidP="00135938">
      <w:pPr>
        <w:pStyle w:val="Textocomentario"/>
      </w:pPr>
      <w:r>
        <w:rPr>
          <w:rStyle w:val="Refdecomentario"/>
        </w:rPr>
        <w:annotationRef/>
      </w:r>
      <w:r>
        <w:t xml:space="preserve">Esto debiese ser un título </w:t>
      </w:r>
    </w:p>
  </w:comment>
  <w:comment w:id="21" w:author="Diego Jorquera Pereira" w:date="2026-07-15T10:51:00Z" w:initials="DJ">
    <w:p w14:paraId="6D90BD9B" w14:textId="77777777" w:rsidR="009C2150" w:rsidRDefault="009C2150" w:rsidP="009C2150">
      <w:pPr>
        <w:pStyle w:val="Textocomentario"/>
      </w:pPr>
      <w:r>
        <w:rPr>
          <w:rStyle w:val="Refdecomentario"/>
        </w:rPr>
        <w:annotationRef/>
      </w:r>
      <w:r>
        <w:t>Hay que mejorar el orden, algo así:</w:t>
      </w:r>
      <w:r>
        <w:br/>
      </w:r>
      <w:r>
        <w:br/>
        <w:t>Atención Primaria de Salud</w:t>
      </w:r>
      <w:r>
        <w:br/>
        <w:t>CESFAM Nonguén</w:t>
      </w:r>
    </w:p>
    <w:p w14:paraId="64C6E3F5" w14:textId="77777777" w:rsidR="009C2150" w:rsidRDefault="009C2150" w:rsidP="009C2150">
      <w:pPr>
        <w:pStyle w:val="Textocomentario"/>
      </w:pPr>
      <w:r>
        <w:t xml:space="preserve">Programa de Salud Cardiovascular. </w:t>
      </w:r>
    </w:p>
    <w:p w14:paraId="3D242990" w14:textId="77777777" w:rsidR="009C2150" w:rsidRDefault="009C2150" w:rsidP="009C2150">
      <w:pPr>
        <w:pStyle w:val="Textocomentario"/>
      </w:pPr>
      <w:r>
        <w:t xml:space="preserve">Atención Farmacéutica. </w:t>
      </w:r>
    </w:p>
    <w:p w14:paraId="2F5B40F2" w14:textId="77777777" w:rsidR="009C2150" w:rsidRDefault="009C2150" w:rsidP="009C2150">
      <w:pPr>
        <w:pStyle w:val="Textocomentario"/>
      </w:pPr>
      <w:r>
        <w:t xml:space="preserve">Rol del químico farmacéutico en APS. </w:t>
      </w:r>
    </w:p>
    <w:p w14:paraId="5AD75044" w14:textId="77777777" w:rsidR="009C2150" w:rsidRDefault="009C2150" w:rsidP="009C2150">
      <w:pPr>
        <w:pStyle w:val="Textocomentario"/>
      </w:pPr>
      <w:r>
        <w:t xml:space="preserve">Atención Farmacéutica domiciliaria. </w:t>
      </w:r>
    </w:p>
    <w:p w14:paraId="112F1E11" w14:textId="77777777" w:rsidR="009C2150" w:rsidRDefault="009C2150" w:rsidP="009C2150">
      <w:pPr>
        <w:pStyle w:val="Textocomentario"/>
      </w:pPr>
      <w:r>
        <w:t>Adherencia, polifarmacia, PRM y RNM. (no sé si será necesario todo, va a depender de tu tema)</w:t>
      </w:r>
    </w:p>
    <w:p w14:paraId="57A13217" w14:textId="77777777" w:rsidR="009C2150" w:rsidRDefault="009C2150" w:rsidP="009C2150">
      <w:pPr>
        <w:pStyle w:val="Textocomentario"/>
      </w:pPr>
      <w:r>
        <w:t xml:space="preserve">Métodos de seguimiento farmacoterapéutico. </w:t>
      </w:r>
    </w:p>
    <w:p w14:paraId="5E0B73DF" w14:textId="77777777" w:rsidR="009C2150" w:rsidRDefault="009C2150" w:rsidP="009C2150">
      <w:pPr>
        <w:pStyle w:val="Textocomentario"/>
      </w:pPr>
      <w:r>
        <w:t>Modelo CMO y otro que estimes pertinente</w:t>
      </w:r>
    </w:p>
    <w:p w14:paraId="786911D8" w14:textId="77777777" w:rsidR="009C2150" w:rsidRDefault="009C2150" w:rsidP="009C2150">
      <w:pPr>
        <w:pStyle w:val="Textocomentario"/>
      </w:pPr>
      <w:r>
        <w:t xml:space="preserve">Aplicación del Modelo CMO en el CESFAM Villa Nonguén. </w:t>
      </w:r>
    </w:p>
    <w:p w14:paraId="2D5A59A8" w14:textId="77777777" w:rsidR="009C2150" w:rsidRDefault="009C2150" w:rsidP="009C2150">
      <w:pPr>
        <w:pStyle w:val="Textocomentario"/>
      </w:pPr>
      <w:r>
        <w:t xml:space="preserve">Justificación, problemática, algo así </w:t>
      </w:r>
    </w:p>
  </w:comment>
  <w:comment w:id="24" w:author="Diego Jorquera Pereira" w:date="2026-07-15T10:56:00Z" w:initials="DJ">
    <w:p w14:paraId="33FDBD83" w14:textId="77777777" w:rsidR="00F16375" w:rsidRDefault="00F16375" w:rsidP="00F16375">
      <w:pPr>
        <w:pStyle w:val="Textocomentario"/>
      </w:pPr>
      <w:r>
        <w:rPr>
          <w:rStyle w:val="Refdecomentario"/>
        </w:rPr>
        <w:annotationRef/>
      </w:r>
      <w:r>
        <w:t>Acá solo hay que poner la pregunta de investigación, se asume que sigue ese formato.</w:t>
      </w:r>
    </w:p>
  </w:comment>
  <w:comment w:id="27" w:author="Diego Jorquera Pereira" w:date="2026-07-15T10:56:00Z" w:initials="DJ">
    <w:p w14:paraId="5CE07A6B" w14:textId="77777777" w:rsidR="00C96531" w:rsidRDefault="00C96531" w:rsidP="00C96531">
      <w:pPr>
        <w:pStyle w:val="Textocomentario"/>
      </w:pPr>
      <w:r>
        <w:rPr>
          <w:rStyle w:val="Refdecomentario"/>
        </w:rPr>
        <w:annotationRef/>
      </w:r>
      <w:r>
        <w:t>Identificar</w:t>
      </w:r>
    </w:p>
  </w:comment>
  <w:comment w:id="28" w:author="Diego Jorquera Pereira" w:date="2026-07-15T10:57:00Z" w:initials="DJ">
    <w:p w14:paraId="3B81CDB8" w14:textId="77777777" w:rsidR="009816EA" w:rsidRDefault="009816EA" w:rsidP="009816EA">
      <w:pPr>
        <w:pStyle w:val="Textocomentario"/>
      </w:pPr>
      <w:r>
        <w:rPr>
          <w:rStyle w:val="Refdecomentario"/>
        </w:rPr>
        <w:annotationRef/>
      </w:r>
      <w:r>
        <w:t>Primero hay que elaborarlo y después aplicar. Si tu objetivo es aplicar, el general debería ser APLICACIÓN DE UN PROTOCOLO...</w:t>
      </w:r>
    </w:p>
  </w:comment>
  <w:comment w:id="29" w:author="Diego Jorquera Pereira" w:date="2026-07-15T11:11:00Z" w:initials="DJ">
    <w:p w14:paraId="2A3108B9" w14:textId="77777777" w:rsidR="00DD5A9B" w:rsidRDefault="00DD5A9B" w:rsidP="00DD5A9B">
      <w:pPr>
        <w:pStyle w:val="Textocomentario"/>
      </w:pPr>
      <w:r>
        <w:rPr>
          <w:rStyle w:val="Refdecomentario"/>
        </w:rPr>
        <w:annotationRef/>
      </w:r>
      <w:r>
        <w:t>Hay que mejorar los objetivos.</w:t>
      </w:r>
      <w:r>
        <w:br/>
        <w:t>GENERAL: Aplicación</w:t>
      </w:r>
      <w:r>
        <w:br/>
      </w:r>
      <w:r>
        <w:br/>
        <w:t>Específicos</w:t>
      </w:r>
      <w:r>
        <w:br/>
        <w:t>BRECHAS</w:t>
      </w:r>
      <w:r>
        <w:br/>
        <w:t>ELABORAR EL PROTOLOCO</w:t>
      </w:r>
      <w:r>
        <w:br/>
        <w:t>Y el 3ero algo que se relacione con la aplicación.</w:t>
      </w:r>
    </w:p>
  </w:comment>
  <w:comment w:id="36" w:author="Diego Jorquera Pereira" w:date="2026-07-15T11:13:00Z" w:initials="DJ">
    <w:p w14:paraId="65AB2200" w14:textId="77777777" w:rsidR="00745126" w:rsidRDefault="00B22C65" w:rsidP="00745126">
      <w:pPr>
        <w:pStyle w:val="Textocomentario"/>
      </w:pPr>
      <w:r>
        <w:rPr>
          <w:rStyle w:val="Refdecomentario"/>
        </w:rPr>
        <w:annotationRef/>
      </w:r>
      <w:r w:rsidR="00745126">
        <w:t>Acá solo debes poner CÓMO harás este objetivo, cómo verás esas brechas, que protocolos analizarás o cómo se obtendrá esta info.</w:t>
      </w:r>
    </w:p>
  </w:comment>
  <w:comment w:id="37" w:author="Diego Jorquera Pereira" w:date="2026-07-15T11:14:00Z" w:initials="DJ">
    <w:p w14:paraId="74F76CE3" w14:textId="3676C314" w:rsidR="00745126" w:rsidRDefault="00745126" w:rsidP="00745126">
      <w:pPr>
        <w:pStyle w:val="Textocomentario"/>
      </w:pPr>
      <w:r>
        <w:rPr>
          <w:rStyle w:val="Refdecomentario"/>
        </w:rPr>
        <w:annotationRef/>
      </w:r>
      <w:r>
        <w:t>Hay algunos resultados, hay que mejorarlo</w:t>
      </w:r>
    </w:p>
  </w:comment>
  <w:comment w:id="38" w:author="Diego Jorquera Pereira" w:date="2026-07-15T11:14:00Z" w:initials="DJ">
    <w:p w14:paraId="240CC40E" w14:textId="77777777" w:rsidR="00745126" w:rsidRDefault="00745126" w:rsidP="00745126">
      <w:pPr>
        <w:pStyle w:val="Textocomentario"/>
      </w:pPr>
      <w:r>
        <w:rPr>
          <w:rStyle w:val="Refdecomentario"/>
        </w:rPr>
        <w:annotationRef/>
      </w:r>
      <w:r>
        <w:t xml:space="preserve">Hay info que está bien si </w:t>
      </w:r>
    </w:p>
  </w:comment>
  <w:comment w:id="39" w:author="Diego Jorquera Pereira" w:date="2026-07-15T11:15:00Z" w:initials="DJ">
    <w:p w14:paraId="77443660" w14:textId="77777777" w:rsidR="00F91C89" w:rsidRDefault="00F91C89" w:rsidP="00F91C89">
      <w:pPr>
        <w:pStyle w:val="Textocomentario"/>
      </w:pPr>
      <w:r>
        <w:rPr>
          <w:rStyle w:val="Refdecomentario"/>
        </w:rPr>
        <w:annotationRef/>
      </w:r>
      <w:r>
        <w:t>Toda esa fila es resultado</w:t>
      </w:r>
    </w:p>
  </w:comment>
  <w:comment w:id="42" w:author="Diego Jorquera Pereira" w:date="2026-07-15T11:20:00Z" w:initials="DJ">
    <w:p w14:paraId="386EC855" w14:textId="77777777" w:rsidR="00162893" w:rsidRDefault="00162893" w:rsidP="00162893">
      <w:pPr>
        <w:pStyle w:val="Textocomentario"/>
      </w:pPr>
      <w:r>
        <w:rPr>
          <w:rStyle w:val="Refdecomentario"/>
        </w:rPr>
        <w:annotationRef/>
      </w:r>
      <w:r>
        <w:t xml:space="preserve">Hay que reordenar la info, hay cosas que son resultados y no metodología. </w:t>
      </w:r>
    </w:p>
  </w:comment>
  <w:comment w:id="45" w:author="Diego Jorquera Pereira" w:date="2026-07-15T11:19:00Z" w:initials="DJ">
    <w:p w14:paraId="447BFF48" w14:textId="77777777" w:rsidR="00584C3A" w:rsidRDefault="00584C3A" w:rsidP="00584C3A">
      <w:pPr>
        <w:pStyle w:val="Textocomentario"/>
      </w:pPr>
      <w:r>
        <w:rPr>
          <w:rStyle w:val="Refdecomentario"/>
        </w:rPr>
        <w:annotationRef/>
      </w:r>
      <w:r>
        <w:t>Un poco informal eso</w:t>
      </w:r>
    </w:p>
  </w:comment>
  <w:comment w:id="46" w:author="Diego Jorquera Pereira" w:date="2026-07-15T11:19:00Z" w:initials="DJ">
    <w:p w14:paraId="1ABACD25" w14:textId="77777777" w:rsidR="00F80C2C" w:rsidRDefault="00F80C2C" w:rsidP="00F80C2C">
      <w:pPr>
        <w:pStyle w:val="Textocomentario"/>
      </w:pPr>
      <w:r>
        <w:rPr>
          <w:rStyle w:val="Refdecomentario"/>
        </w:rPr>
        <w:annotationRef/>
      </w:r>
      <w:r>
        <w:t xml:space="preserve">Eso es dato sensible, pero ahí lo conversamos </w:t>
      </w:r>
    </w:p>
  </w:comment>
  <w:comment w:id="49" w:author="Diego Jorquera Pereira" w:date="2026-07-15T11:20:00Z" w:initials="DJ">
    <w:p w14:paraId="162545A8" w14:textId="77777777" w:rsidR="00DE180E" w:rsidRDefault="00DE180E" w:rsidP="00DE180E">
      <w:pPr>
        <w:pStyle w:val="Textocomentario"/>
      </w:pPr>
      <w:r>
        <w:rPr>
          <w:rStyle w:val="Refdecomentario"/>
        </w:rPr>
        <w:annotationRef/>
      </w:r>
      <w:r>
        <w:t xml:space="preserve">Arriba pusiste algo de pacientes </w:t>
      </w:r>
    </w:p>
  </w:comment>
  <w:comment w:id="50" w:author="Diego Jorquera Pereira" w:date="2026-07-15T11:21:00Z" w:initials="DJ">
    <w:p w14:paraId="470302DF" w14:textId="77777777" w:rsidR="00F82540" w:rsidRDefault="00F82540" w:rsidP="00F82540">
      <w:pPr>
        <w:pStyle w:val="Textocomentario"/>
      </w:pPr>
      <w:r>
        <w:rPr>
          <w:rStyle w:val="Refdecomentario"/>
        </w:rPr>
        <w:annotationRef/>
      </w:r>
      <w:r>
        <w:t>La redacción mejoró harto, no se ve tan IA como la vez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0BFD64" w15:done="0"/>
  <w15:commentEx w15:paraId="74823426" w15:done="0"/>
  <w15:commentEx w15:paraId="567686B7" w15:done="0"/>
  <w15:commentEx w15:paraId="55C5E245" w15:done="0"/>
  <w15:commentEx w15:paraId="4C6180BE" w15:done="0"/>
  <w15:commentEx w15:paraId="0E745A46" w15:done="0"/>
  <w15:commentEx w15:paraId="33640EDD" w15:done="0"/>
  <w15:commentEx w15:paraId="2D5A59A8" w15:done="0"/>
  <w15:commentEx w15:paraId="33FDBD83" w15:done="0"/>
  <w15:commentEx w15:paraId="5CE07A6B" w15:done="0"/>
  <w15:commentEx w15:paraId="3B81CDB8" w15:done="0"/>
  <w15:commentEx w15:paraId="2A3108B9" w15:done="0"/>
  <w15:commentEx w15:paraId="65AB2200" w15:done="0"/>
  <w15:commentEx w15:paraId="74F76CE3" w15:paraIdParent="65AB2200" w15:done="0"/>
  <w15:commentEx w15:paraId="240CC40E" w15:paraIdParent="65AB2200" w15:done="0"/>
  <w15:commentEx w15:paraId="77443660" w15:done="0"/>
  <w15:commentEx w15:paraId="386EC855" w15:done="0"/>
  <w15:commentEx w15:paraId="447BFF48" w15:done="0"/>
  <w15:commentEx w15:paraId="1ABACD25" w15:done="0"/>
  <w15:commentEx w15:paraId="162545A8" w15:done="0"/>
  <w15:commentEx w15:paraId="470302D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131B82" w16cex:dateUtc="2026-07-15T04:24:00Z"/>
  <w16cex:commentExtensible w16cex:durableId="063AC077" w16cex:dateUtc="2026-07-15T04:24:00Z"/>
  <w16cex:commentExtensible w16cex:durableId="7174C4F8" w16cex:dateUtc="2026-07-15T04:24:00Z"/>
  <w16cex:commentExtensible w16cex:durableId="6BF050C3" w16cex:dateUtc="2026-07-15T13:32:00Z"/>
  <w16cex:commentExtensible w16cex:durableId="3A7C1C05" w16cex:dateUtc="2026-07-15T13:41:00Z"/>
  <w16cex:commentExtensible w16cex:durableId="71F53F7E" w16cex:dateUtc="2026-07-15T13:55:00Z"/>
  <w16cex:commentExtensible w16cex:durableId="5AEB88C5" w16cex:dateUtc="2026-07-15T13:55:00Z"/>
  <w16cex:commentExtensible w16cex:durableId="69B6D103" w16cex:dateUtc="2026-07-15T14:51:00Z"/>
  <w16cex:commentExtensible w16cex:durableId="0950DD33" w16cex:dateUtc="2026-07-15T14:56:00Z"/>
  <w16cex:commentExtensible w16cex:durableId="681B4E47" w16cex:dateUtc="2026-07-15T14:56:00Z"/>
  <w16cex:commentExtensible w16cex:durableId="040ACDA0" w16cex:dateUtc="2026-07-15T14:57:00Z"/>
  <w16cex:commentExtensible w16cex:durableId="60EA67C8" w16cex:dateUtc="2026-07-15T15:11:00Z"/>
  <w16cex:commentExtensible w16cex:durableId="67B4C2A2" w16cex:dateUtc="2026-07-15T15:13:00Z"/>
  <w16cex:commentExtensible w16cex:durableId="42750B3F" w16cex:dateUtc="2026-07-15T15:14:00Z"/>
  <w16cex:commentExtensible w16cex:durableId="6554B621" w16cex:dateUtc="2026-07-15T15:14:00Z"/>
  <w16cex:commentExtensible w16cex:durableId="33BB5593" w16cex:dateUtc="2026-07-15T15:15:00Z"/>
  <w16cex:commentExtensible w16cex:durableId="044C9449" w16cex:dateUtc="2026-07-15T15:20:00Z"/>
  <w16cex:commentExtensible w16cex:durableId="1F7FDDE7" w16cex:dateUtc="2026-07-15T15:19:00Z"/>
  <w16cex:commentExtensible w16cex:durableId="6E583F3C" w16cex:dateUtc="2026-07-15T15:19:00Z"/>
  <w16cex:commentExtensible w16cex:durableId="4408437F" w16cex:dateUtc="2026-07-15T15:20:00Z"/>
  <w16cex:commentExtensible w16cex:durableId="70C36974" w16cex:dateUtc="2026-07-15T15: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0BFD64" w16cid:durableId="6D131B82"/>
  <w16cid:commentId w16cid:paraId="74823426" w16cid:durableId="063AC077"/>
  <w16cid:commentId w16cid:paraId="567686B7" w16cid:durableId="7174C4F8"/>
  <w16cid:commentId w16cid:paraId="55C5E245" w16cid:durableId="6BF050C3"/>
  <w16cid:commentId w16cid:paraId="4C6180BE" w16cid:durableId="3A7C1C05"/>
  <w16cid:commentId w16cid:paraId="0E745A46" w16cid:durableId="71F53F7E"/>
  <w16cid:commentId w16cid:paraId="33640EDD" w16cid:durableId="5AEB88C5"/>
  <w16cid:commentId w16cid:paraId="2D5A59A8" w16cid:durableId="69B6D103"/>
  <w16cid:commentId w16cid:paraId="33FDBD83" w16cid:durableId="0950DD33"/>
  <w16cid:commentId w16cid:paraId="5CE07A6B" w16cid:durableId="681B4E47"/>
  <w16cid:commentId w16cid:paraId="3B81CDB8" w16cid:durableId="040ACDA0"/>
  <w16cid:commentId w16cid:paraId="2A3108B9" w16cid:durableId="60EA67C8"/>
  <w16cid:commentId w16cid:paraId="65AB2200" w16cid:durableId="67B4C2A2"/>
  <w16cid:commentId w16cid:paraId="74F76CE3" w16cid:durableId="42750B3F"/>
  <w16cid:commentId w16cid:paraId="240CC40E" w16cid:durableId="6554B621"/>
  <w16cid:commentId w16cid:paraId="77443660" w16cid:durableId="33BB5593"/>
  <w16cid:commentId w16cid:paraId="386EC855" w16cid:durableId="044C9449"/>
  <w16cid:commentId w16cid:paraId="447BFF48" w16cid:durableId="1F7FDDE7"/>
  <w16cid:commentId w16cid:paraId="1ABACD25" w16cid:durableId="6E583F3C"/>
  <w16cid:commentId w16cid:paraId="162545A8" w16cid:durableId="4408437F"/>
  <w16cid:commentId w16cid:paraId="470302DF" w16cid:durableId="70C3697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FABEF" w14:textId="77777777" w:rsidR="00560B65" w:rsidRDefault="00560B65" w:rsidP="00837CF9">
      <w:pPr>
        <w:spacing w:after="0" w:line="240" w:lineRule="auto"/>
      </w:pPr>
      <w:r>
        <w:separator/>
      </w:r>
    </w:p>
  </w:endnote>
  <w:endnote w:type="continuationSeparator" w:id="0">
    <w:p w14:paraId="65833ED7" w14:textId="77777777" w:rsidR="00560B65" w:rsidRDefault="00560B65"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EndPr/>
    <w:sdtContent>
      <w:p w14:paraId="0BA5EB72"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774620B2"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EndPr/>
    <w:sdtContent>
      <w:p w14:paraId="796EB839" w14:textId="4030557B"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00F2F38E" w14:textId="77777777" w:rsidR="00837CF9" w:rsidRDefault="00837CF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FDB6D" w14:textId="77777777" w:rsidR="00560B65" w:rsidRDefault="00560B65" w:rsidP="00837CF9">
      <w:pPr>
        <w:spacing w:after="0" w:line="240" w:lineRule="auto"/>
      </w:pPr>
      <w:r>
        <w:separator/>
      </w:r>
    </w:p>
  </w:footnote>
  <w:footnote w:type="continuationSeparator" w:id="0">
    <w:p w14:paraId="2EA34F7E" w14:textId="77777777" w:rsidR="00560B65" w:rsidRDefault="00560B65"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EF8C8" w14:textId="77777777" w:rsidR="00F16909" w:rsidRDefault="00F16909">
    <w:pPr>
      <w:pStyle w:val="Encabezado"/>
    </w:pPr>
    <w:r>
      <w:rPr>
        <w:noProof/>
        <w:lang w:eastAsia="es-CL"/>
      </w:rPr>
      <w:drawing>
        <wp:anchor distT="0" distB="0" distL="114300" distR="114300" simplePos="0" relativeHeight="251662848" behindDoc="1" locked="0" layoutInCell="1" allowOverlap="1" wp14:anchorId="24117D8A" wp14:editId="4E09CF54">
          <wp:simplePos x="0" y="0"/>
          <wp:positionH relativeFrom="margin">
            <wp:align>left</wp:align>
          </wp:positionH>
          <wp:positionV relativeFrom="paragraph">
            <wp:posOffset>-214630</wp:posOffset>
          </wp:positionV>
          <wp:extent cx="1936137" cy="657225"/>
          <wp:effectExtent l="0" t="0" r="6985" b="0"/>
          <wp:wrapNone/>
          <wp:docPr id="201234744" name="Imagen 201234744" descr="Postgrado Medicina y Ciencia | Universidad San Sebastián | U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tgrado Medicina y Ciencia | Universidad San Sebastián | USS"/>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36137"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A3D0E" w14:textId="6CA28147" w:rsidR="00837CF9" w:rsidRDefault="00837CF9">
    <w:pPr>
      <w:pStyle w:val="Encabezado"/>
    </w:pPr>
    <w:r>
      <w:rPr>
        <w:noProof/>
        <w:lang w:eastAsia="es-CL"/>
      </w:rPr>
      <w:drawing>
        <wp:anchor distT="0" distB="0" distL="114300" distR="114300" simplePos="0" relativeHeight="251660800" behindDoc="1" locked="0" layoutInCell="1" allowOverlap="1" wp14:anchorId="314666B2" wp14:editId="5CFB0912">
          <wp:simplePos x="0" y="0"/>
          <wp:positionH relativeFrom="margin">
            <wp:align>left</wp:align>
          </wp:positionH>
          <wp:positionV relativeFrom="paragraph">
            <wp:posOffset>-214630</wp:posOffset>
          </wp:positionV>
          <wp:extent cx="1936137" cy="657225"/>
          <wp:effectExtent l="0" t="0" r="6985" b="0"/>
          <wp:wrapNone/>
          <wp:docPr id="173815460" name="Imagen 173815460" descr="Postgrado Medicina y Ciencia | Universidad San Sebastián | U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tgrado Medicina y Ciencia | Universidad San Sebastián | USS"/>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36137"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ego Jorquera Pereira">
    <w15:presenceInfo w15:providerId="Windows Live" w15:userId="965e9a197275a0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6430D9"/>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ascii="Arial" w:eastAsiaTheme="majorEastAsia" w:hAnsi="Arial" w:cstheme="majorBidi"/>
      <w:b/>
      <w:sz w:val="24"/>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ascii="Arial" w:eastAsiaTheme="majorEastAsia" w:hAnsi="Arial" w:cstheme="majorBidi"/>
      <w:b/>
      <w:sz w:val="24"/>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ascii="Arial" w:eastAsiaTheme="minorEastAsia" w:hAnsi="Arial" w:cs="Arial"/>
      <w:noProof/>
      <w:sz w:val="24"/>
      <w:szCs w:val="24"/>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sz w:val="24"/>
      <w:szCs w:val="24"/>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rFonts w:ascii="Arial" w:hAnsi="Arial"/>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ascii="Arial" w:eastAsiaTheme="minorEastAsia" w:hAnsi="Arial" w:cs="Arial"/>
      <w:b/>
      <w:spacing w:val="15"/>
      <w:sz w:val="24"/>
      <w:szCs w:val="24"/>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1.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2.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customXml/itemProps3.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F66968-0B63-4A9C-B0AD-642FFF3ECA1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29</Pages>
  <Words>5828</Words>
  <Characters>32056</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LOBOS PARRA</dc:creator>
  <cp:keywords/>
  <dc:description/>
  <cp:lastModifiedBy>Diego Jorquera Pereira</cp:lastModifiedBy>
  <cp:revision>60</cp:revision>
  <cp:lastPrinted>2024-05-17T03:59:00Z</cp:lastPrinted>
  <dcterms:created xsi:type="dcterms:W3CDTF">2026-07-09T02:13:00Z</dcterms:created>
  <dcterms:modified xsi:type="dcterms:W3CDTF">2026-07-15T15:21:00Z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