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 y rol del Químico Farmacéutico</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188FACF0" w14:textId="77777777" w:rsidR="001E3629" w:rsidRPr="001E3629" w:rsidRDefault="4B46B525" w:rsidP="001E3629">
      <w:pPr>
        <w:pStyle w:val="Ttulo2"/>
      </w:pPr>
      <w:bookmarkStart w:id="9" w:name="_Toc235014857"/>
      <w:r>
        <w:t xml:space="preserve">1.4 Adherencia, polifarmacia y seguimiento farmacoterapéutico</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 xml:space="preserve">1.5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400683E4" w14:textId="77777777" w:rsidR="001E3629" w:rsidRPr="001E3629" w:rsidRDefault="4B46B525" w:rsidP="001E3629">
      <w:pPr>
        <w:pStyle w:val="Ttulo2"/>
      </w:pPr>
      <w:bookmarkStart w:id="8" w:name="_Toc235014856"/>
      <w:r>
        <w:t xml:space="preserve">1.6 Atención Farmacéutica domiciliaria</w:t>
      </w:r>
      <w:bookmarkEnd w:id="8"/>
    </w:p>
    <w:p w14:paraId="54FEA99A" w14:textId="77777777" w:rsidR="000E1F30" w:rsidRDefault="7F07F010">
      <w:pPr>
        <w:spacing w:after="120" w:line="360" w:lineRule="auto"/>
        <w:jc w:val="both"/>
      </w:pPr>
      <w:r>
        <w:rPr>
          <w:rFonts w:ascii="Arial" w:hAnsi="Arial" w:cs="Arial"/>
        </w:rPr>
        <w:t>Una vez presentado el Modelo CMO,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2A2C573C" w14:textId="77777777" w:rsidR="001E3629" w:rsidRPr="001E3629" w:rsidRDefault="4B46B525" w:rsidP="001E3629">
      <w:pPr>
        <w:pStyle w:val="Ttulo2"/>
      </w:pPr>
      <w:bookmarkStart w:id="12" w:name="_Toc235014860"/>
      <w:r>
        <w:t>1.7 Diseño del protocolo bajo el Modelo CMO en el CESFAM Villa Nonguén</w:t>
      </w:r>
      <w:proofErr w:type="spellStart"/>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0AABC272" w14:textId="77777777" w:rsidR="001E3629" w:rsidRPr="001E3629" w:rsidRDefault="4B46B525" w:rsidP="001E3629">
      <w:pPr>
        <w:pStyle w:val="Ttulo2"/>
      </w:pPr>
      <w:bookmarkStart w:id="13" w:name="_Toc235014861"/>
      <w:r>
        <w:t>1.8 Justificación y planteamiento del problema</w:t>
      </w:r>
      <w:bookmarkEnd w:id="13"/>
    </w:p>
    <w:p w14:paraId="7A4F3ADF" w14:textId="77777777" w:rsidR="000E1F30" w:rsidRDefault="7F07F010">
      <w:pPr>
        <w:spacing w:after="120" w:line="360" w:lineRule="auto"/>
        <w:jc w:val="both"/>
      </w:pPr>
      <w:r>
        <w:rPr>
          <w:rFonts w:ascii="Arial" w:hAnsi="Arial" w:cs="Arial"/>
        </w:rPr>
        <w:t>Las razones de contar con este protocolo son epidemiológicas y de gestión. A la carga de las enfermedades cardiovasculares, ya descrita,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1705043B" w14:textId="77777777" w:rsidR="001E3629" w:rsidRPr="001E3629" w:rsidRDefault="4B46B525" w:rsidP="001E3629">
      <w:pPr>
        <w:pStyle w:val="Ttulo2"/>
      </w:pPr>
      <w:bookmarkStart w:id="14" w:name="_Toc235014862"/>
      <w:r>
        <w:t>1.9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1.10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t>1.11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rPr>
            </w:pPr>
            <w:r w:rsidRPr="004D5991">
              <w:rPr>
                <w:b/>
              </w:rPr>
              <w:t>Pilar del Modelo CMO</w:t>
            </w:r>
          </w:p>
        </w:tc>
        <w:tc>
          <w:tcPr>
            <w:tcW w:w="2351" w:type="dxa"/>
          </w:tcPr>
          <w:p w14:paraId="3648693D" w14:textId="77777777" w:rsidR="000E1F30" w:rsidRPr="004D5991" w:rsidRDefault="7F07F010" w:rsidP="10550309">
            <w:pPr>
              <w:rPr>
                <w:b/>
                <w:bCs/>
              </w:rPr>
            </w:pPr>
            <w:r w:rsidRPr="004D5991">
              <w:rPr>
                <w:b/>
              </w:rPr>
              <w:t>Aspecto evaluado</w:t>
            </w:r>
          </w:p>
        </w:tc>
        <w:tc>
          <w:tcPr>
            <w:tcW w:w="2351" w:type="dxa"/>
          </w:tcPr>
          <w:p w14:paraId="12FA0914" w14:textId="77777777" w:rsidR="000E1F30" w:rsidRPr="004D5991" w:rsidRDefault="7F07F010" w:rsidP="10550309">
            <w:pPr>
              <w:rPr>
                <w:b/>
                <w:bCs/>
              </w:rPr>
            </w:pPr>
            <w:r w:rsidRPr="004D5991">
              <w:rPr>
                <w:b/>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pPr>
            <w:r w:rsidRPr="004D5991">
              <w:rPr/>
              <w:t>Capacidad</w:t>
            </w:r>
          </w:p>
        </w:tc>
        <w:tc>
          <w:tcPr>
            <w:tcW w:w="2351" w:type="dxa"/>
          </w:tcPr>
          <w:p w14:paraId="04438472" w14:textId="77777777" w:rsidR="000E1F30" w:rsidRPr="004D5991" w:rsidRDefault="7F07F010" w:rsidP="10550309">
            <w:pPr>
              <w:rPr/>
            </w:pPr>
            <w:r w:rsidRPr="004D5991">
              <w:rPr/>
              <w:t>Criterios de priorización e ingreso a la visita domiciliaria</w:t>
            </w:r>
          </w:p>
        </w:tc>
        <w:tc>
          <w:tcPr>
            <w:tcW w:w="2351" w:type="dxa"/>
          </w:tcPr>
          <w:p w14:paraId="2D3CCC2D" w14:textId="77777777" w:rsidR="000E1F30" w:rsidRPr="004D5991" w:rsidRDefault="7F07F010" w:rsidP="10550309">
            <w:pPr>
              <w:rPr/>
            </w:pPr>
            <w:r>
              <w:rPr>
                <w:rFonts w:ascii="Arial" w:hAnsi="Arial" w:cs="Arial"/>
              </w:rPr>
              <w:t>Orientación Técnica del Programa de Salud Cardiovascular y del Fondo de Farmacia (Ministerio de Salud de Chile, 2017b, 2018b, 2020);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pPr>
            <w:r w:rsidRPr="004D5991">
              <w:rPr/>
              <w:t>Motivación</w:t>
            </w:r>
          </w:p>
        </w:tc>
        <w:tc>
          <w:tcPr>
            <w:tcW w:w="2351" w:type="dxa"/>
          </w:tcPr>
          <w:p w14:paraId="2CAAF56B" w14:textId="77777777" w:rsidR="000E1F30" w:rsidRPr="004D5991" w:rsidRDefault="7F07F010" w:rsidP="10550309">
            <w:pPr>
              <w:rPr/>
            </w:pPr>
            <w:r w:rsidRPr="004D5991">
              <w:rPr/>
              <w:t>Abordaje de la adherencia y de las barreras del paciente</w:t>
            </w:r>
          </w:p>
        </w:tc>
        <w:tc>
          <w:tcPr>
            <w:tcW w:w="2351" w:type="dxa"/>
          </w:tcPr>
          <w:p w14:paraId="3595E01D" w14:textId="77777777" w:rsidR="000E1F30" w:rsidRPr="004D5991" w:rsidRDefault="00BD14B4" w:rsidP="10550309">
            <w:pPr>
              <w:rPr/>
            </w:pPr>
            <w:r>
              <w:rPr>
                <w:rFonts w:ascii="Arial" w:hAnsi="Arial" w:cs="Arial"/>
              </w:rPr>
              <w:t>Guía de Atención Farmacéutica y Seguimiento Farmacoterapéutico en APS (Ministerio de Salud de Chile, 2018a);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pPr>
            <w:r w:rsidRPr="004D5991">
              <w:rPr/>
              <w:t>Oportunidad</w:t>
            </w:r>
          </w:p>
        </w:tc>
        <w:tc>
          <w:tcPr>
            <w:tcW w:w="2351" w:type="dxa"/>
          </w:tcPr>
          <w:p w14:paraId="14B3D46D" w14:textId="77777777" w:rsidR="000E1F30" w:rsidRPr="004D5991" w:rsidRDefault="7F07F010" w:rsidP="10550309">
            <w:pPr>
              <w:rPr/>
            </w:pPr>
            <w:r w:rsidRPr="004D5991">
              <w:rPr/>
              <w:t>Registro de la atención y continuidad del seguimiento</w:t>
            </w:r>
          </w:p>
        </w:tc>
        <w:tc>
          <w:tcPr>
            <w:tcW w:w="2351" w:type="dxa"/>
          </w:tcPr>
          <w:p w14:paraId="51E90E92" w14:textId="77777777" w:rsidR="000E1F30" w:rsidRDefault="7F07F010" w:rsidP="10550309">
            <w:r w:rsidRPr="004D5991">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proofErr w:type="spellStart"/>
      <w:proofErr w:type="spellEnd"/>
      <w:r>
        <w:rPr>
          <w:rFonts w:ascii="Arial" w:hAnsi="Arial" w:cs="Arial"/>
        </w:rPr>
        <w:t>Para responder al segundo objetivo, se definieron los criterios para priorizar a los pacientes y el flujograma de la visita. El protocolo está pensado para las personas adultas y mayores del Programa de Salud Cardiovascular del CESFAM Villa Nonguén, con prioridad en pacientes con polifarmacia, que dependen de un cuidador, que se descompensan con frecuencia o que tienen dificultades para acudir al centro. Esta forma de priorizar responde al pilar de Capacidad del Modelo CMO, 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t>2.4 Instrumentos y herramientas de la atención</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Para responder al tercer objetivo,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también que el químico farmacéutico, como parte de sus competencias, interprete la información clínica disponible para orientar la atención, anticipar los problemas relacionados con los medicamentos y reforzar la adherencia, apoyándose en herramientas como el método Dáder y los pilares del Modelo CMO. Durante la visita domiciliaria esta valoración se complementa con la medición de la presión arterial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proofErr w:type="gramStart"/>
      <w:proofErr w:type="gramEnd"/>
      <w:r>
        <w:rPr>
          <w:rFonts w:ascii="Arial" w:hAnsi="Arial" w:cs="Arial"/>
        </w:rPr>
        <w:t>Los problemas relacionados con los medicamentos y los resultados negativos asociados a la medicación se ordenan según sean de necesidad, efectividad o seguridad, siguiendo el Consenso de Granada (Comité de Consenso de Granada, 2007), como se detalla en el Anexo 6, y se acompañan de una lista de medidas para resolverlos como por ejemplo: ajustar la dosis, cambiar el horario, iniciar o suspender un tratamiento, cambiar por una alternativa o educar al paciente, recogida en el Anexo 7. Las reacciones adversas se notifican según la Norma Técnica N.º 140 sobre el Sistema Nacional de Farmacovigilancia de Productos Farmacéuticos de Uso Humano (Ministerio de Salud de Chile, 2017c), usando el algoritmo de causalidad de la OMS.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634945C9" w14:textId="77777777" w:rsidR="000E1F30" w:rsidRDefault="006031D9">
      <w:pPr>
        <w:spacing w:after="120" w:line="360" w:lineRule="auto"/>
        <w:ind w:left="720" w:hanging="720"/>
        <w:jc w:val="both"/>
      </w:pPr>
      <w:r>
        <w:lastRenderedPageBreak/>
        <w:t xml:space="preserve">Ministerio de Salud de Chile. (2017c). Norma Técnica N.º 140 sobre el Sistema Nacional de Farmacovigilancia de Productos Farmacéuticos de Uso Humano (Resolución Exenta N.º 2783).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rPr>
          <w:rFonts w:ascii="Arial" w:hAnsi="Arial" w:cs="Arial"/>
          <w:sz w:val="24"/>
        </w:rPr>
        <w:t>•  Datos generales, problemas de salud y antecedentes clínicos relevantes.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Bastián Alonso Espinoza Palma</dc:creator>
  <cp:keywords/>
  <dc:description/>
  <cp:lastModifiedBy>Bastián Alonso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