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rPr>
          <w:rFonts w:ascii="Arial" w:hAnsi="Arial" w:cs="Arial"/>
        </w:rPr>
        <w:t>Las razones de contar con este protocolo son epidemiológicas y de gestión. A la carga de las enfermedades cardiovasculares, ya descrita,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Pr>
                <w:rFonts w:ascii="Arial" w:hAnsi="Arial" w:cs="Arial"/>
              </w:rPr>
              <w:t>Orientación Técnica del Programa de Salud Cardiovascular y del Fondo de Farmacia (Ministerio de Salud de Chile, 2017b, 2018b, 2020);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Pr>
                <w:rFonts w:ascii="Arial" w:hAnsi="Arial" w:cs="Arial"/>
              </w:rPr>
              <w:t>Guía de Atención Farmacéutica y Seguimiento Farmacoterapéutico en APS (Ministerio de Salud de Chile, 2018a);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proofErr w:type="spellStart"/>
      <w:proofErr w:type="spellEnd"/>
      <w:r>
        <w:rPr>
          <w:rFonts w:ascii="Arial" w:hAnsi="Arial" w:cs="Arial"/>
        </w:rPr>
        <w:t>Para responder al segundo objetivo, se definieron los criterios para priorizar a los pacientes y el flujograma de la visita. El protocolo está pensado para las personas adultas y mayores del Programa de Salud Cardiovascular del CESFAM Villa Nonguén, con prioridad en pacientes con polifarmacia, que dependen de un cuidador, que se descompensan con frecuencia o que tienen dificultades para acudir al centro. Esta forma de priorizar responde al pilar de Capacidad del Modelo CMO, 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t>2.4 Instrumentos y herramientas de la atención</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Para responder al tercer objetivo,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