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57F551EC" w14:textId="77777777" w:rsidR="001E3629" w:rsidRPr="001E3629" w:rsidRDefault="4B46B525" w:rsidP="001E3629">
      <w:pPr>
        <w:pStyle w:val="Ttulo2"/>
      </w:pPr>
      <w:bookmarkStart w:id="7" w:name="_Toc235014855"/>
      <w:r>
        <w:t>1.4 Rol del Químico Farmacéutico en la Atención Primaria</w:t>
      </w:r>
      <w:bookmarkEnd w:id="7"/>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400683E4" w14:textId="77777777" w:rsidR="001E3629" w:rsidRPr="001E3629" w:rsidRDefault="4B46B525" w:rsidP="001E3629">
      <w:pPr>
        <w:pStyle w:val="Ttulo2"/>
      </w:pPr>
      <w:bookmarkStart w:id="8" w:name="_Toc235014856"/>
      <w:r>
        <w:t>1.5 Atención Farmacéutica domiciliaria</w:t>
      </w:r>
      <w:bookmarkEnd w:id="8"/>
    </w:p>
    <w:p w14:paraId="54FEA99A" w14:textId="77777777"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188FACF0" w14:textId="77777777" w:rsidR="001E3629" w:rsidRPr="001E3629" w:rsidRDefault="4B46B525" w:rsidP="001E3629">
      <w:pPr>
        <w:pStyle w:val="Ttulo2"/>
      </w:pPr>
      <w:bookmarkStart w:id="9" w:name="_Toc235014857"/>
      <w:r>
        <w:t>1.6 Adherencia, polifarmacia y problemas relacionados con los medicamentos</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26C05B22" w14:textId="77777777" w:rsidR="001E3629" w:rsidRPr="001E3629" w:rsidRDefault="4B46B525" w:rsidP="001E3629">
      <w:pPr>
        <w:pStyle w:val="Ttulo2"/>
      </w:pPr>
      <w:bookmarkStart w:id="10" w:name="_Toc235014858"/>
      <w:r>
        <w:t>1.7 Métodos de seguimiento farmacoterapéutico</w:t>
      </w:r>
      <w:bookmarkEnd w:id="10"/>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1.8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2A2C573C" w14:textId="77777777" w:rsidR="001E3629" w:rsidRPr="001E3629" w:rsidRDefault="4B46B525" w:rsidP="001E3629">
      <w:pPr>
        <w:pStyle w:val="Ttulo2"/>
      </w:pPr>
      <w:bookmarkStart w:id="12" w:name="_Toc235014860"/>
      <w:r>
        <w:lastRenderedPageBreak/>
        <w:t xml:space="preserve">1.9 Diseño del protocolo bajo el Modelo CMO en el CESFAM Villa </w:t>
      </w:r>
      <w:proofErr w:type="spellStart"/>
      <w:r>
        <w:t>Nonguén</w:t>
      </w:r>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0AABC272" w14:textId="77777777" w:rsidR="001E3629" w:rsidRPr="001E3629" w:rsidRDefault="4B46B525" w:rsidP="001E3629">
      <w:pPr>
        <w:pStyle w:val="Ttulo2"/>
      </w:pPr>
      <w:bookmarkStart w:id="13" w:name="_Toc235014861"/>
      <w:r>
        <w:t>1.10 Justificación y planteamiento del problema</w:t>
      </w:r>
      <w:bookmarkEnd w:id="13"/>
    </w:p>
    <w:p w14:paraId="7A4F3ADF" w14:textId="77777777" w:rsidR="000E1F30" w:rsidRDefault="7F07F010">
      <w:pPr>
        <w:spacing w:after="120" w:line="360" w:lineRule="auto"/>
        <w:jc w:val="both"/>
      </w:pPr>
      <w:r>
        <w:t xml:space="preserve">Las razones de contar con este protocolo son epidemiológicas y de gestión. A la carga de las enfermedades cardiovasculares se suma un motivo de gestión: ordenar la atención ayuda a aprovechar mejor el Fondo de Farmacia (FOFAR), que financia la presencia del </w:t>
      </w:r>
      <w:r>
        <w:lastRenderedPageBreak/>
        <w:t>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1705043B" w14:textId="77777777" w:rsidR="001E3629" w:rsidRPr="001E3629" w:rsidRDefault="4B46B525" w:rsidP="001E3629">
      <w:pPr>
        <w:pStyle w:val="Ttulo2"/>
      </w:pPr>
      <w:bookmarkStart w:id="14" w:name="_Toc235014862"/>
      <w:r>
        <w:t>1.11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1.12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lastRenderedPageBreak/>
        <w:t>1.13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sidRPr="004D5991">
              <w:rPr/>
              <w:t>Orientación Técnica del Programa de Salud Cardiovascular y del Fondo de Farmacia (MINSAL);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sidRPr="004D5991">
              <w:rPr/>
              <w:t>Guía de Atención Farmacéutica y Seguimiento Farmacoterapéutico en APS (MINSAL);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r>
        <w:t xml:space="preserve">El protocolo está pensado para las personas adultas y mayores del Programa de Salud Cardiovascular del CESFAM Villa </w:t>
      </w:r>
      <w:proofErr w:type="spellStart"/>
      <w:r>
        <w:t>Nonguén</w:t>
      </w:r>
      <w:proofErr w:type="spellEnd"/>
      <w:r>
        <w:t xml:space="preserve">, con prioridad en </w:t>
      </w:r>
      <w:r w:rsidR="00BD14B4">
        <w:t>pacientes con polifarmacia</w:t>
      </w:r>
      <w:r>
        <w:t xml:space="preserve">, dependen de un cuidador, se descompensan con frecuencia o tienen dificultades para acudir al centro. Esta forma de priorizar responde al pilar de Capacidad del Modelo CMO, </w:t>
      </w:r>
      <w:r>
        <w:lastRenderedPageBreak/>
        <w:t>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lastRenderedPageBreak/>
        <w:t>2.4 Instrumentos y herramientas de la atención (Objetivo 3)</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