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4703"/>
        <w:gridCol w:w="4703"/>
      </w:tblGrid>
      <w:tr>
        <w:tc>
          <w:tcPr>
            <w:tcW w:type="dxa" w:w="4703"/>
            <w:tcBorders>
              <w:top w:val="nil"/>
              <w:left w:val="nil"/>
              <w:bottom w:val="nil"/>
              <w:right w:val="nil"/>
            </w:tcBorders>
          </w:tcPr>
          <w:p>
            <w:pPr>
              <w:jc w:val="left"/>
            </w:pPr>
            <w:r/>
            <w:r>
              <w:drawing>
                <wp:inline xmlns:a="http://schemas.openxmlformats.org/drawingml/2006/main" xmlns:pic="http://schemas.openxmlformats.org/drawingml/2006/picture">
                  <wp:extent cx="1296000" cy="594406"/>
                  <wp:docPr id="1" name="Picture 1"/>
                  <wp:cNvGraphicFramePr>
                    <a:graphicFrameLocks noChangeAspect="1"/>
                  </wp:cNvGraphicFramePr>
                  <a:graphic>
                    <a:graphicData uri="http://schemas.openxmlformats.org/drawingml/2006/picture">
                      <pic:pic>
                        <pic:nvPicPr>
                          <pic:cNvPr id="0" name="logo_cesfam_grande.png"/>
                          <pic:cNvPicPr/>
                        </pic:nvPicPr>
                        <pic:blipFill>
                          <a:blip r:embed="rId12"/>
                          <a:stretch>
                            <a:fillRect/>
                          </a:stretch>
                        </pic:blipFill>
                        <pic:spPr>
                          <a:xfrm>
                            <a:off x="0" y="0"/>
                            <a:ext cx="1296000" cy="594406"/>
                          </a:xfrm>
                          <a:prstGeom prst="rect"/>
                        </pic:spPr>
                      </pic:pic>
                    </a:graphicData>
                  </a:graphic>
                </wp:inline>
              </w:drawing>
            </w:r>
          </w:p>
        </w:tc>
        <w:tc>
          <w:tcPr>
            <w:tcW w:type="dxa" w:w="4703"/>
            <w:tcBorders>
              <w:top w:val="nil"/>
              <w:left w:val="nil"/>
              <w:bottom w:val="nil"/>
              <w:right w:val="nil"/>
            </w:tcBorders>
          </w:tcPr>
          <w:p>
            <w:pPr>
              <w:jc w:val="right"/>
            </w:pPr>
            <w:r/>
            <w:r>
              <w:drawing>
                <wp:inline xmlns:a="http://schemas.openxmlformats.org/drawingml/2006/main" xmlns:pic="http://schemas.openxmlformats.org/drawingml/2006/picture">
                  <wp:extent cx="1620000" cy="567734"/>
                  <wp:docPr id="2" name="Picture 2"/>
                  <wp:cNvGraphicFramePr>
                    <a:graphicFrameLocks noChangeAspect="1"/>
                  </wp:cNvGraphicFramePr>
                  <a:graphic>
                    <a:graphicData uri="http://schemas.openxmlformats.org/drawingml/2006/picture">
                      <pic:pic>
                        <pic:nvPicPr>
                          <pic:cNvPr id="0" name="logo_familia.png"/>
                          <pic:cNvPicPr/>
                        </pic:nvPicPr>
                        <pic:blipFill>
                          <a:blip r:embed="rId13"/>
                          <a:stretch>
                            <a:fillRect/>
                          </a:stretch>
                        </pic:blipFill>
                        <pic:spPr>
                          <a:xfrm>
                            <a:off x="0" y="0"/>
                            <a:ext cx="1620000" cy="567734"/>
                          </a:xfrm>
                          <a:prstGeom prst="rect"/>
                        </pic:spPr>
                      </pic:pic>
                    </a:graphicData>
                  </a:graphic>
                </wp:inline>
              </w:drawing>
            </w:r>
          </w:p>
        </w:tc>
      </w:tr>
    </w:tbl>
    <w:p/>
    <w:p/>
    <w:p>
      <w:pPr>
        <w:jc w:val="center"/>
      </w:pPr>
      <w:r>
        <w:rPr>
          <w:rFonts w:ascii="Arial" w:hAnsi="Arial" w:cs="Arial"/>
          <w:b/>
          <w:sz w:val="24"/>
        </w:rPr>
        <w:t>CENTRO DE SALUD FAMILIAR</w:t>
      </w:r>
    </w:p>
    <w:p>
      <w:pPr>
        <w:jc w:val="center"/>
      </w:pPr>
      <w:r>
        <w:rPr>
          <w:rFonts w:ascii="Arial" w:hAnsi="Arial" w:cs="Arial"/>
          <w:b/>
          <w:sz w:val="24"/>
        </w:rPr>
        <w:t>VILLA NONGUÉN</w:t>
      </w:r>
    </w:p>
    <w:p>
      <w:pPr>
        <w:jc w:val="center"/>
      </w:pPr>
      <w:r>
        <w:rPr>
          <w:rFonts w:ascii="Arial" w:hAnsi="Arial" w:cs="Arial"/>
          <w:b/>
          <w:sz w:val="24"/>
        </w:rPr>
        <w:t>APF 1.5.1</w:t>
      </w:r>
    </w:p>
    <w:p/>
    <w:p/>
    <w:p/>
    <w:p>
      <w:pPr>
        <w:jc w:val="center"/>
      </w:pPr>
      <w:r>
        <w:rPr>
          <w:rFonts w:ascii="Arial" w:hAnsi="Arial" w:cs="Arial"/>
          <w:b/>
          <w:sz w:val="36"/>
        </w:rPr>
        <w:t>PROTOCOLO DE ATENCIÓN FARMACÉUTICA DOMICILIARIA EN EL PROGRAMA DE SALUD CARDIOVASCULAR</w:t>
      </w:r>
    </w:p>
    <w:p/>
    <w:p/>
    <w:p/>
    <w:p/>
    <w:p/>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Arial" w:hAnsi="Arial" w:cs="Arial"/>
                <w:b/>
                <w:sz w:val="22"/>
              </w:rPr>
              <w:t>Elaborado Por:</w:t>
            </w:r>
          </w:p>
        </w:tc>
        <w:tc>
          <w:tcPr>
            <w:tcW w:type="dxa" w:w="3135"/>
          </w:tcPr>
          <w:p>
            <w:pPr>
              <w:jc w:val="center"/>
            </w:pPr>
            <w:r/>
            <w:r>
              <w:rPr>
                <w:rFonts w:ascii="Arial" w:hAnsi="Arial" w:cs="Arial"/>
                <w:b/>
                <w:sz w:val="22"/>
              </w:rPr>
              <w:t>Revisado Por:</w:t>
            </w:r>
          </w:p>
        </w:tc>
        <w:tc>
          <w:tcPr>
            <w:tcW w:type="dxa" w:w="3135"/>
          </w:tcPr>
          <w:p>
            <w:pPr>
              <w:jc w:val="center"/>
            </w:pPr>
            <w:r/>
            <w:r>
              <w:rPr>
                <w:rFonts w:ascii="Arial" w:hAnsi="Arial" w:cs="Arial"/>
                <w:b/>
                <w:sz w:val="22"/>
              </w:rPr>
              <w:t>Aprobado Por:</w:t>
            </w:r>
          </w:p>
        </w:tc>
      </w:tr>
      <w:tr>
        <w:tc>
          <w:tcPr>
            <w:tcW w:type="dxa" w:w="3135"/>
          </w:tcPr>
          <w:p>
            <w:pPr>
              <w:jc w:val="center"/>
            </w:pPr>
            <w:r/>
            <w:r>
              <w:rPr>
                <w:rFonts w:ascii="Arial" w:hAnsi="Arial" w:cs="Arial"/>
                <w:b w:val="0"/>
                <w:sz w:val="20"/>
              </w:rPr>
              <w:t>Interno de Química y Farmacia</w:t>
            </w:r>
          </w:p>
          <w:p>
            <w:pPr>
              <w:jc w:val="center"/>
            </w:pPr>
            <w:r>
              <w:rPr>
                <w:rFonts w:ascii="Arial" w:hAnsi="Arial" w:cs="Arial"/>
                <w:b w:val="0"/>
                <w:sz w:val="20"/>
              </w:rPr>
            </w:r>
          </w:p>
          <w:p>
            <w:pPr>
              <w:jc w:val="center"/>
            </w:pPr>
            <w:r>
              <w:rPr>
                <w:rFonts w:ascii="Arial" w:hAnsi="Arial" w:cs="Arial"/>
                <w:b w:val="0"/>
                <w:sz w:val="20"/>
              </w:rPr>
            </w:r>
          </w:p>
          <w:p>
            <w:pPr>
              <w:jc w:val="center"/>
            </w:pPr>
            <w:r>
              <w:rPr>
                <w:rFonts w:ascii="Arial" w:hAnsi="Arial" w:cs="Arial"/>
                <w:b w:val="0"/>
                <w:sz w:val="20"/>
              </w:rPr>
            </w:r>
          </w:p>
          <w:p>
            <w:pPr>
              <w:jc w:val="center"/>
            </w:pPr>
            <w:r>
              <w:rPr>
                <w:rFonts w:ascii="Arial" w:hAnsi="Arial" w:cs="Arial"/>
                <w:b w:val="0"/>
                <w:sz w:val="20"/>
              </w:rPr>
              <w:t>_______________________</w:t>
            </w:r>
          </w:p>
          <w:p>
            <w:pPr>
              <w:jc w:val="center"/>
            </w:pPr>
            <w:r>
              <w:rPr>
                <w:rFonts w:ascii="Arial" w:hAnsi="Arial" w:cs="Arial"/>
                <w:b w:val="0"/>
                <w:sz w:val="20"/>
              </w:rPr>
              <w:t>Nombre y firma</w:t>
            </w:r>
          </w:p>
          <w:p>
            <w:pPr>
              <w:jc w:val="center"/>
            </w:pPr>
            <w:r>
              <w:rPr>
                <w:rFonts w:ascii="Arial" w:hAnsi="Arial" w:cs="Arial"/>
                <w:b w:val="0"/>
                <w:sz w:val="20"/>
              </w:rPr>
            </w:r>
          </w:p>
          <w:p>
            <w:pPr>
              <w:jc w:val="center"/>
            </w:pPr>
            <w:r>
              <w:rPr>
                <w:rFonts w:ascii="Arial" w:hAnsi="Arial" w:cs="Arial"/>
                <w:b w:val="0"/>
                <w:sz w:val="20"/>
              </w:rPr>
              <w:t>Julio 2026</w:t>
            </w:r>
          </w:p>
        </w:tc>
        <w:tc>
          <w:tcPr>
            <w:tcW w:type="dxa" w:w="3135"/>
          </w:tcPr>
          <w:p>
            <w:pPr>
              <w:jc w:val="center"/>
            </w:pPr>
            <w:r/>
            <w:r>
              <w:rPr>
                <w:rFonts w:ascii="Arial" w:hAnsi="Arial" w:cs="Arial"/>
                <w:b w:val="0"/>
                <w:sz w:val="20"/>
              </w:rPr>
              <w:t>Encargado(a) de Farmacia</w:t>
            </w:r>
          </w:p>
          <w:p>
            <w:pPr>
              <w:jc w:val="center"/>
            </w:pPr>
            <w:r>
              <w:rPr>
                <w:rFonts w:ascii="Arial" w:hAnsi="Arial" w:cs="Arial"/>
                <w:b w:val="0"/>
                <w:sz w:val="20"/>
              </w:rPr>
            </w:r>
          </w:p>
          <w:p>
            <w:pPr>
              <w:jc w:val="center"/>
            </w:pPr>
            <w:r>
              <w:rPr>
                <w:rFonts w:ascii="Arial" w:hAnsi="Arial" w:cs="Arial"/>
                <w:b w:val="0"/>
                <w:sz w:val="20"/>
              </w:rPr>
            </w:r>
          </w:p>
          <w:p>
            <w:pPr>
              <w:jc w:val="center"/>
            </w:pPr>
            <w:r>
              <w:rPr>
                <w:rFonts w:ascii="Arial" w:hAnsi="Arial" w:cs="Arial"/>
                <w:b w:val="0"/>
                <w:sz w:val="20"/>
              </w:rPr>
            </w:r>
          </w:p>
          <w:p>
            <w:pPr>
              <w:jc w:val="center"/>
            </w:pPr>
            <w:r>
              <w:rPr>
                <w:rFonts w:ascii="Arial" w:hAnsi="Arial" w:cs="Arial"/>
                <w:b w:val="0"/>
                <w:sz w:val="20"/>
              </w:rPr>
              <w:t>_______________________</w:t>
            </w:r>
          </w:p>
          <w:p>
            <w:pPr>
              <w:jc w:val="center"/>
            </w:pPr>
            <w:r>
              <w:rPr>
                <w:rFonts w:ascii="Arial" w:hAnsi="Arial" w:cs="Arial"/>
                <w:b w:val="0"/>
                <w:sz w:val="20"/>
              </w:rPr>
              <w:t>Nombre y firma</w:t>
            </w:r>
          </w:p>
          <w:p>
            <w:pPr>
              <w:jc w:val="center"/>
            </w:pPr>
            <w:r>
              <w:rPr>
                <w:rFonts w:ascii="Arial" w:hAnsi="Arial" w:cs="Arial"/>
                <w:b w:val="0"/>
                <w:sz w:val="20"/>
              </w:rPr>
            </w:r>
          </w:p>
          <w:p>
            <w:pPr>
              <w:jc w:val="center"/>
            </w:pPr>
            <w:r>
              <w:rPr>
                <w:rFonts w:ascii="Arial" w:hAnsi="Arial" w:cs="Arial"/>
                <w:b w:val="0"/>
                <w:sz w:val="20"/>
              </w:rPr>
              <w:t>Julio 2026</w:t>
            </w:r>
          </w:p>
        </w:tc>
        <w:tc>
          <w:tcPr>
            <w:tcW w:type="dxa" w:w="3135"/>
          </w:tcPr>
          <w:p>
            <w:pPr>
              <w:jc w:val="center"/>
            </w:pPr>
            <w:r/>
            <w:r>
              <w:rPr>
                <w:rFonts w:ascii="Arial" w:hAnsi="Arial" w:cs="Arial"/>
                <w:b w:val="0"/>
                <w:sz w:val="20"/>
              </w:rPr>
              <w:t>Dirección CESFAM</w:t>
            </w:r>
          </w:p>
          <w:p>
            <w:pPr>
              <w:jc w:val="center"/>
            </w:pPr>
            <w:r>
              <w:rPr>
                <w:rFonts w:ascii="Arial" w:hAnsi="Arial" w:cs="Arial"/>
                <w:b w:val="0"/>
                <w:sz w:val="20"/>
              </w:rPr>
            </w:r>
          </w:p>
          <w:p>
            <w:pPr>
              <w:jc w:val="center"/>
            </w:pPr>
            <w:r>
              <w:rPr>
                <w:rFonts w:ascii="Arial" w:hAnsi="Arial" w:cs="Arial"/>
                <w:b w:val="0"/>
                <w:sz w:val="20"/>
              </w:rPr>
            </w:r>
          </w:p>
          <w:p>
            <w:pPr>
              <w:jc w:val="center"/>
            </w:pPr>
            <w:r>
              <w:rPr>
                <w:rFonts w:ascii="Arial" w:hAnsi="Arial" w:cs="Arial"/>
                <w:b w:val="0"/>
                <w:sz w:val="20"/>
              </w:rPr>
            </w:r>
          </w:p>
          <w:p>
            <w:pPr>
              <w:jc w:val="center"/>
            </w:pPr>
            <w:r>
              <w:rPr>
                <w:rFonts w:ascii="Arial" w:hAnsi="Arial" w:cs="Arial"/>
                <w:b w:val="0"/>
                <w:sz w:val="20"/>
              </w:rPr>
              <w:t>_______________________</w:t>
            </w:r>
          </w:p>
          <w:p>
            <w:pPr>
              <w:jc w:val="center"/>
            </w:pPr>
            <w:r>
              <w:rPr>
                <w:rFonts w:ascii="Arial" w:hAnsi="Arial" w:cs="Arial"/>
                <w:b w:val="0"/>
                <w:sz w:val="20"/>
              </w:rPr>
              <w:t>Nombre y firma</w:t>
            </w:r>
          </w:p>
          <w:p>
            <w:pPr>
              <w:jc w:val="center"/>
            </w:pPr>
            <w:r>
              <w:rPr>
                <w:rFonts w:ascii="Arial" w:hAnsi="Arial" w:cs="Arial"/>
                <w:b w:val="0"/>
                <w:sz w:val="20"/>
              </w:rPr>
            </w:r>
          </w:p>
          <w:p>
            <w:pPr>
              <w:jc w:val="center"/>
            </w:pPr>
            <w:r>
              <w:rPr>
                <w:rFonts w:ascii="Arial" w:hAnsi="Arial" w:cs="Arial"/>
                <w:b w:val="0"/>
                <w:sz w:val="20"/>
              </w:rPr>
              <w:t>Julio 2026</w:t>
            </w:r>
          </w:p>
        </w:tc>
      </w:tr>
    </w:tbl>
    <w:p>
      <w:r>
        <w:br w:type="page"/>
      </w:r>
    </w:p>
    <w:p>
      <w:r>
        <w:rPr>
          <w:rFonts w:ascii="Arial" w:hAnsi="Arial" w:cs="Arial"/>
          <w:b/>
          <w:sz w:val="24"/>
        </w:rPr>
        <w:t>1.- INTRODUCCIÓN</w:t>
      </w:r>
    </w:p>
    <w:p>
      <w:pPr>
        <w:jc w:val="both"/>
      </w:pPr>
      <w:r>
        <w:rPr>
          <w:rFonts w:ascii="Arial" w:hAnsi="Arial" w:cs="Arial"/>
          <w:b w:val="0"/>
          <w:sz w:val="24"/>
        </w:rPr>
        <w:t>Las enfermedades cardiovasculares son una de las principales causas de muerte y de discapacidad en Chile, en una población que envejece y en la que las enfermedades crónicas son cada vez más frecuentes. En la Atención Primaria, el Programa de Salud Cardiovascular cumple un papel central al pesquisar, clasificar y seguir a los pacientes con hipertensión, diabetes y dislipidemia, y una parte importante de los eventos que se derivan de estas condiciones puede evitarse controlando a tiempo los factores de riesgo.</w:t>
      </w:r>
    </w:p>
    <w:p>
      <w:pPr>
        <w:jc w:val="both"/>
      </w:pPr>
      <w:r>
        <w:rPr>
          <w:rFonts w:ascii="Arial" w:hAnsi="Arial" w:cs="Arial"/>
          <w:b w:val="0"/>
          <w:sz w:val="24"/>
        </w:rPr>
        <w:t>Dentro del programa, el Químico Farmacéutico participa en la atención de los usuarios, tanto en box como en visitas domiciliarias, y realiza tareas de seguimiento, educación y revisión de la medicación. La visita al domicilio es una instancia valiosa, porque permite conocer el entorno real del paciente, revisar el botiquín del hogar, conciliar la medicación que realmente usa y reforzar la adherencia. Hasta ahora estas visitas se realizan de acuerdo con el criterio de cada profesional, sin un procedimiento escrito que las ordene, lo que dificulta comparar el trabajo entre profesionales y hacerlo trazable en el tiempo.</w:t>
      </w:r>
    </w:p>
    <w:p>
      <w:pPr>
        <w:jc w:val="both"/>
      </w:pPr>
      <w:r>
        <w:rPr>
          <w:rFonts w:ascii="Arial" w:hAnsi="Arial" w:cs="Arial"/>
          <w:b w:val="0"/>
          <w:sz w:val="24"/>
        </w:rPr>
        <w:t>El presente protocolo estandariza la Atención Farmacéutica domiciliaria dirigida a los pacientes del Programa de Salud Cardiovascular del CESFAM Villa Nonguén, tomando como referencia el Modelo CMO (Capacidad, Motivación y Oportunidad). El objetivo es traducir ese modelo en pasos concretos, a quién priorizar, cómo conducir la entrevista y trabajar la adherencia, y cómo registrar lo realizado, de manera que la atención sea ordenada, trazable y posible de evaluar.</w:t>
      </w:r>
    </w:p>
    <w:p>
      <w:r>
        <w:rPr>
          <w:rFonts w:ascii="Arial" w:hAnsi="Arial" w:cs="Arial"/>
          <w:b/>
          <w:sz w:val="24"/>
        </w:rPr>
        <w:t>2.- OBJETIVOS</w:t>
      </w:r>
    </w:p>
    <w:p>
      <w:r>
        <w:rPr>
          <w:rFonts w:ascii="Arial" w:hAnsi="Arial" w:cs="Arial"/>
          <w:b/>
          <w:sz w:val="24"/>
        </w:rPr>
        <w:t>Objetivo general</w:t>
      </w:r>
    </w:p>
    <w:p>
      <w:pPr>
        <w:jc w:val="both"/>
      </w:pPr>
      <w:r>
        <w:rPr>
          <w:rFonts w:ascii="Arial" w:hAnsi="Arial" w:cs="Arial"/>
          <w:b w:val="0"/>
          <w:sz w:val="24"/>
        </w:rPr>
        <w:t>Estandarizar el proceso de Atención Farmacéutica domiciliaria dirigido a los pacientes del Programa de Salud Cardiovascular del CESFAM Villa Nonguén, aplicando los pilares del Modelo CMO, para ordenar la priorización de los pacientes, la ejecución de la visita y el registro del seguimiento farmacoterapéutico.</w:t>
      </w:r>
    </w:p>
    <w:p>
      <w:r>
        <w:rPr>
          <w:rFonts w:ascii="Arial" w:hAnsi="Arial" w:cs="Arial"/>
          <w:b/>
          <w:sz w:val="24"/>
        </w:rPr>
        <w:t>Objetivos específicos</w:t>
      </w:r>
    </w:p>
    <w:p>
      <w:pPr>
        <w:pStyle w:val="ListBullet"/>
        <w:jc w:val="both"/>
      </w:pPr>
      <w:r>
        <w:rPr>
          <w:rFonts w:ascii="Arial" w:hAnsi="Arial" w:cs="Arial"/>
          <w:b w:val="0"/>
          <w:sz w:val="24"/>
        </w:rPr>
        <w:t>Definir los criterios para priorizar a los pacientes que ingresan a la visita domiciliaria, según su riesgo y complejidad.</w:t>
      </w:r>
    </w:p>
    <w:p>
      <w:pPr>
        <w:pStyle w:val="ListBullet"/>
        <w:jc w:val="both"/>
      </w:pPr>
      <w:r>
        <w:rPr>
          <w:rFonts w:ascii="Arial" w:hAnsi="Arial" w:cs="Arial"/>
          <w:b w:val="0"/>
          <w:sz w:val="24"/>
        </w:rPr>
        <w:t>Ordenar las etapas de la visita y el desarrollo de la entrevista, incorporando el enfoque motivacional para trabajar la adherencia.</w:t>
      </w:r>
    </w:p>
    <w:p>
      <w:pPr>
        <w:pStyle w:val="ListBullet"/>
        <w:jc w:val="both"/>
      </w:pPr>
      <w:r>
        <w:rPr>
          <w:rFonts w:ascii="Arial" w:hAnsi="Arial" w:cs="Arial"/>
          <w:b w:val="0"/>
          <w:sz w:val="24"/>
        </w:rPr>
        <w:t>Unificar los instrumentos y las herramientas de evaluación, la clasificación de los problemas relacionados con los medicamentos y el registro de la atención en la ficha clínica.</w:t>
      </w:r>
    </w:p>
    <w:p>
      <w:r>
        <w:rPr>
          <w:rFonts w:ascii="Arial" w:hAnsi="Arial" w:cs="Arial"/>
          <w:b/>
          <w:sz w:val="24"/>
        </w:rPr>
        <w:t>3.- RESPONSABILIDAD</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D9D9D9"/>
          </w:tcPr>
          <w:p>
            <w:pPr>
              <w:jc w:val="center"/>
            </w:pPr>
            <w:r/>
            <w:r>
              <w:rPr>
                <w:rFonts w:ascii="Arial" w:hAnsi="Arial" w:cs="Arial"/>
                <w:b/>
                <w:sz w:val="22"/>
              </w:rPr>
              <w:t>RESPONSABLE</w:t>
            </w:r>
          </w:p>
        </w:tc>
        <w:tc>
          <w:tcPr>
            <w:tcW w:type="dxa" w:w="4703"/>
            <w:shd w:val="clear" w:color="auto" w:fill="D9D9D9"/>
          </w:tcPr>
          <w:p>
            <w:pPr>
              <w:jc w:val="center"/>
            </w:pPr>
            <w:r/>
            <w:r>
              <w:rPr>
                <w:rFonts w:ascii="Arial" w:hAnsi="Arial" w:cs="Arial"/>
                <w:b/>
                <w:sz w:val="22"/>
              </w:rPr>
              <w:t>ACTIVIDAD</w:t>
            </w:r>
          </w:p>
        </w:tc>
      </w:tr>
      <w:tr>
        <w:tc>
          <w:tcPr>
            <w:tcW w:type="dxa" w:w="4703"/>
          </w:tcPr>
          <w:p>
            <w:r/>
            <w:r>
              <w:rPr>
                <w:rFonts w:ascii="Arial" w:hAnsi="Arial" w:cs="Arial"/>
                <w:b w:val="0"/>
                <w:sz w:val="22"/>
              </w:rPr>
              <w:t>Químico Farmacéutico</w:t>
            </w:r>
          </w:p>
        </w:tc>
        <w:tc>
          <w:tcPr>
            <w:tcW w:type="dxa" w:w="4703"/>
          </w:tcPr>
          <w:p>
            <w:r/>
            <w:r>
              <w:rPr>
                <w:rFonts w:ascii="Arial" w:hAnsi="Arial" w:cs="Arial"/>
                <w:b w:val="0"/>
                <w:sz w:val="22"/>
              </w:rPr>
              <w:t>Planificar y ejecutar la visita domiciliaria, conducir la entrevista, conciliar la medicación, detectar y clasificar los PRM y RNM, registrar la atención en la ficha clínica y proponer las intervenciones al médico tratante. Supervisar el cumplimiento del protocolo.</w:t>
            </w:r>
          </w:p>
        </w:tc>
      </w:tr>
      <w:tr>
        <w:tc>
          <w:tcPr>
            <w:tcW w:type="dxa" w:w="4703"/>
          </w:tcPr>
          <w:p>
            <w:r/>
            <w:r>
              <w:rPr>
                <w:rFonts w:ascii="Arial" w:hAnsi="Arial" w:cs="Arial"/>
                <w:b w:val="0"/>
                <w:sz w:val="22"/>
              </w:rPr>
              <w:t>Interno de Química y Farmacia</w:t>
            </w:r>
          </w:p>
        </w:tc>
        <w:tc>
          <w:tcPr>
            <w:tcW w:type="dxa" w:w="4703"/>
          </w:tcPr>
          <w:p>
            <w:r/>
            <w:r>
              <w:rPr>
                <w:rFonts w:ascii="Arial" w:hAnsi="Arial" w:cs="Arial"/>
                <w:b w:val="0"/>
                <w:sz w:val="22"/>
              </w:rPr>
              <w:t>Apoyar la preparación y la ejecución de la visita, aplicar los instrumentos y registrar la información, siempre bajo la supervisión del Químico Farmacéutico.</w:t>
            </w:r>
          </w:p>
        </w:tc>
      </w:tr>
      <w:tr>
        <w:tc>
          <w:tcPr>
            <w:tcW w:type="dxa" w:w="4703"/>
          </w:tcPr>
          <w:p>
            <w:r/>
            <w:r>
              <w:rPr>
                <w:rFonts w:ascii="Arial" w:hAnsi="Arial" w:cs="Arial"/>
                <w:b w:val="0"/>
                <w:sz w:val="22"/>
              </w:rPr>
              <w:t>TENS Unidad de Farmacia</w:t>
            </w:r>
          </w:p>
        </w:tc>
        <w:tc>
          <w:tcPr>
            <w:tcW w:type="dxa" w:w="4703"/>
          </w:tcPr>
          <w:p>
            <w:r/>
            <w:r>
              <w:rPr>
                <w:rFonts w:ascii="Arial" w:hAnsi="Arial" w:cs="Arial"/>
                <w:b w:val="0"/>
                <w:sz w:val="22"/>
              </w:rPr>
              <w:t>Colaborar en el agendamiento de las visitas, en la preparación de los materiales y en la coordinación con el paciente y su cuidador.</w:t>
            </w:r>
          </w:p>
        </w:tc>
      </w:tr>
      <w:tr>
        <w:tc>
          <w:tcPr>
            <w:tcW w:type="dxa" w:w="4703"/>
          </w:tcPr>
          <w:p>
            <w:r/>
            <w:r>
              <w:rPr>
                <w:rFonts w:ascii="Arial" w:hAnsi="Arial" w:cs="Arial"/>
                <w:b w:val="0"/>
                <w:sz w:val="22"/>
              </w:rPr>
              <w:t>Médico y equipo del Programa de Salud Cardiovascular</w:t>
            </w:r>
          </w:p>
        </w:tc>
        <w:tc>
          <w:tcPr>
            <w:tcW w:type="dxa" w:w="4703"/>
          </w:tcPr>
          <w:p>
            <w:r/>
            <w:r>
              <w:rPr>
                <w:rFonts w:ascii="Arial" w:hAnsi="Arial" w:cs="Arial"/>
                <w:b w:val="0"/>
                <w:sz w:val="22"/>
              </w:rPr>
              <w:t>Derivar a los pacientes al protocolo, recibir las sugerencias del Químico Farmacéutico y resolver las interconsultas relacionadas con la farmacoterapia.</w:t>
            </w:r>
          </w:p>
        </w:tc>
      </w:tr>
    </w:tbl>
    <w:p>
      <w:r>
        <w:rPr>
          <w:rFonts w:ascii="Arial" w:hAnsi="Arial" w:cs="Arial"/>
          <w:b/>
          <w:sz w:val="24"/>
        </w:rPr>
        <w:t>4.- DEFINICIONES</w:t>
      </w:r>
    </w:p>
    <w:p>
      <w:pPr>
        <w:pStyle w:val="ListBullet"/>
        <w:jc w:val="both"/>
      </w:pPr>
      <w:r>
        <w:rPr>
          <w:rFonts w:ascii="Arial" w:hAnsi="Arial" w:cs="Arial"/>
          <w:b/>
          <w:sz w:val="24"/>
        </w:rPr>
        <w:t xml:space="preserve">Atención Farmacéutica: </w:t>
      </w:r>
      <w:r>
        <w:rPr>
          <w:rFonts w:ascii="Arial" w:hAnsi="Arial" w:cs="Arial"/>
          <w:b w:val="0"/>
          <w:sz w:val="24"/>
        </w:rPr>
        <w:t>Participación del Químico Farmacéutico en el cuidado del paciente para aprovechar mejor sus medicamentos y mejorar sus resultados en salud, cooperando con el paciente y con el resto del equipo en el diseño, la ejecución y el seguimiento de un plan terapéutico.</w:t>
      </w:r>
    </w:p>
    <w:p>
      <w:pPr>
        <w:pStyle w:val="ListBullet"/>
        <w:jc w:val="both"/>
      </w:pPr>
      <w:r>
        <w:rPr>
          <w:rFonts w:ascii="Arial" w:hAnsi="Arial" w:cs="Arial"/>
          <w:b/>
          <w:sz w:val="24"/>
        </w:rPr>
        <w:t xml:space="preserve">Seguimiento farmacoterapéutico: </w:t>
      </w:r>
      <w:r>
        <w:rPr>
          <w:rFonts w:ascii="Arial" w:hAnsi="Arial" w:cs="Arial"/>
          <w:b w:val="0"/>
          <w:sz w:val="24"/>
        </w:rPr>
        <w:t>Práctica clínica en la que el farmacéutico se responsabiliza de las necesidades del paciente relacionadas con los medicamentos, mediante la detección, la prevención y la resolución de los problemas relacionados con la medicación, de forma continua y documentada.</w:t>
      </w:r>
    </w:p>
    <w:p>
      <w:pPr>
        <w:pStyle w:val="ListBullet"/>
        <w:jc w:val="both"/>
      </w:pPr>
      <w:r>
        <w:rPr>
          <w:rFonts w:ascii="Arial" w:hAnsi="Arial" w:cs="Arial"/>
          <w:b/>
          <w:sz w:val="24"/>
        </w:rPr>
        <w:t xml:space="preserve">Modelo CMO: </w:t>
      </w:r>
      <w:r>
        <w:rPr>
          <w:rFonts w:ascii="Arial" w:hAnsi="Arial" w:cs="Arial"/>
          <w:b w:val="0"/>
          <w:sz w:val="24"/>
        </w:rPr>
        <w:t>Marco de trabajo de la Atención Farmacéutica que ordena la atención en torno a tres pilares: Capacidad, para priorizar a los pacientes según su riesgo y complejidad; Motivación, para trabajar la adherencia mediante la entrevista motivacional; y Oportunidad, para dar continuidad al seguimiento más allá del box.</w:t>
      </w:r>
    </w:p>
    <w:p>
      <w:pPr>
        <w:pStyle w:val="ListBullet"/>
        <w:jc w:val="both"/>
      </w:pPr>
      <w:r>
        <w:rPr>
          <w:rFonts w:ascii="Arial" w:hAnsi="Arial" w:cs="Arial"/>
          <w:b/>
          <w:sz w:val="24"/>
        </w:rPr>
        <w:t xml:space="preserve">Adherencia: </w:t>
      </w:r>
      <w:r>
        <w:rPr>
          <w:rFonts w:ascii="Arial" w:hAnsi="Arial" w:cs="Arial"/>
          <w:b w:val="0"/>
          <w:sz w:val="24"/>
        </w:rPr>
        <w:t>Grado en que la persona sigue las indicaciones de su tratamiento acordadas con el equipo de salud.</w:t>
      </w:r>
    </w:p>
    <w:p>
      <w:pPr>
        <w:pStyle w:val="ListBullet"/>
        <w:jc w:val="both"/>
      </w:pPr>
      <w:r>
        <w:rPr>
          <w:rFonts w:ascii="Arial" w:hAnsi="Arial" w:cs="Arial"/>
          <w:b/>
          <w:sz w:val="24"/>
        </w:rPr>
        <w:t xml:space="preserve">Polifarmacia: </w:t>
      </w:r>
      <w:r>
        <w:rPr>
          <w:rFonts w:ascii="Arial" w:hAnsi="Arial" w:cs="Arial"/>
          <w:b w:val="0"/>
          <w:sz w:val="24"/>
        </w:rPr>
        <w:t>Uso simultáneo de varios medicamentos por un mismo paciente, situación frecuente en las personas mayores y en quienes tienen varias enfermedades a la vez.</w:t>
      </w:r>
    </w:p>
    <w:p>
      <w:pPr>
        <w:pStyle w:val="ListBullet"/>
        <w:jc w:val="both"/>
      </w:pPr>
      <w:r>
        <w:rPr>
          <w:rFonts w:ascii="Arial" w:hAnsi="Arial" w:cs="Arial"/>
          <w:b/>
          <w:sz w:val="24"/>
        </w:rPr>
        <w:t xml:space="preserve">Conciliación de la medicación: </w:t>
      </w:r>
      <w:r>
        <w:rPr>
          <w:rFonts w:ascii="Arial" w:hAnsi="Arial" w:cs="Arial"/>
          <w:b w:val="0"/>
          <w:sz w:val="24"/>
        </w:rPr>
        <w:t>Comparación entre la medicación que el paciente tiene indicada y la que realmente usa, con el fin de detectar diferencias y acordar los ajustes con el equipo de salud.</w:t>
      </w:r>
    </w:p>
    <w:p>
      <w:pPr>
        <w:pStyle w:val="ListBullet"/>
        <w:jc w:val="both"/>
      </w:pPr>
      <w:r>
        <w:rPr>
          <w:rFonts w:ascii="Arial" w:hAnsi="Arial" w:cs="Arial"/>
          <w:b/>
          <w:sz w:val="24"/>
        </w:rPr>
        <w:t xml:space="preserve">PRM (problemas relacionados con los medicamentos): </w:t>
      </w:r>
      <w:r>
        <w:rPr>
          <w:rFonts w:ascii="Arial" w:hAnsi="Arial" w:cs="Arial"/>
          <w:b w:val="0"/>
          <w:sz w:val="24"/>
        </w:rPr>
        <w:t>Situaciones que, en el proceso de uso de los medicamentos, pueden causar o llevar a la aparición de un resultado negativo asociado a la medicación.</w:t>
      </w:r>
    </w:p>
    <w:p>
      <w:pPr>
        <w:pStyle w:val="ListBullet"/>
        <w:jc w:val="both"/>
      </w:pPr>
      <w:r>
        <w:rPr>
          <w:rFonts w:ascii="Arial" w:hAnsi="Arial" w:cs="Arial"/>
          <w:b/>
          <w:sz w:val="24"/>
        </w:rPr>
        <w:t xml:space="preserve">RNM (resultados negativos asociados a la medicación): </w:t>
      </w:r>
      <w:r>
        <w:rPr>
          <w:rFonts w:ascii="Arial" w:hAnsi="Arial" w:cs="Arial"/>
          <w:b w:val="0"/>
          <w:sz w:val="24"/>
        </w:rPr>
        <w:t>Resultados en la salud del paciente que no se ajustan a los objetivos de la farmacoterapia y que se asocian al uso o al fallo del uso de los medicamentos. Se clasifican según necesidad, efectividad y seguridad.</w:t>
      </w:r>
    </w:p>
    <w:p>
      <w:pPr>
        <w:pStyle w:val="ListBullet"/>
        <w:jc w:val="both"/>
      </w:pPr>
      <w:r>
        <w:rPr>
          <w:rFonts w:ascii="Arial" w:hAnsi="Arial" w:cs="Arial"/>
          <w:b/>
          <w:sz w:val="24"/>
        </w:rPr>
        <w:t xml:space="preserve">Visita domiciliaria: </w:t>
      </w:r>
      <w:r>
        <w:rPr>
          <w:rFonts w:ascii="Arial" w:hAnsi="Arial" w:cs="Arial"/>
          <w:b w:val="0"/>
          <w:sz w:val="24"/>
        </w:rPr>
        <w:t>Atención que el equipo de salud realiza en el domicilio del paciente, orientada a quienes tienen dificultades para acudir al centro o requieren una valoración en su entorno.</w:t>
      </w:r>
    </w:p>
    <w:p>
      <w:pPr>
        <w:pStyle w:val="ListBullet"/>
        <w:jc w:val="both"/>
      </w:pPr>
      <w:r>
        <w:rPr>
          <w:rFonts w:ascii="Arial" w:hAnsi="Arial" w:cs="Arial"/>
          <w:b/>
          <w:sz w:val="24"/>
        </w:rPr>
        <w:t xml:space="preserve">Método Dáder: </w:t>
      </w:r>
      <w:r>
        <w:rPr>
          <w:rFonts w:ascii="Arial" w:hAnsi="Arial" w:cs="Arial"/>
          <w:b w:val="0"/>
          <w:sz w:val="24"/>
        </w:rPr>
        <w:t>Método sistemático de seguimiento farmacoterapéutico que ordena la obtención de la información del paciente, el estudio de su situación y la identificación de los problemas relacionados con los medicamentos.</w:t>
      </w:r>
    </w:p>
    <w:p>
      <w:r>
        <w:rPr>
          <w:rFonts w:ascii="Arial" w:hAnsi="Arial" w:cs="Arial"/>
          <w:b/>
          <w:sz w:val="24"/>
        </w:rPr>
        <w:t>5.- DESARROLLO</w:t>
      </w:r>
    </w:p>
    <w:p>
      <w:r>
        <w:rPr>
          <w:rFonts w:ascii="Arial" w:hAnsi="Arial" w:cs="Arial"/>
          <w:b/>
          <w:sz w:val="24"/>
        </w:rPr>
        <w:t>5.1 Generalidades</w:t>
      </w:r>
    </w:p>
    <w:p>
      <w:pPr>
        <w:jc w:val="both"/>
      </w:pPr>
      <w:r>
        <w:rPr>
          <w:rFonts w:ascii="Arial" w:hAnsi="Arial" w:cs="Arial"/>
          <w:b w:val="0"/>
          <w:sz w:val="24"/>
        </w:rPr>
        <w:t>El protocolo abarca el seguimiento farmacoterapéutico en el domicilio de los pacientes crónicos del Programa de Salud Cardiovascular, desde que se planifica la visita hasta que se registra lo realizado en la ficha clínica. Su propósito es traducir los tres pilares del Modelo CMO en pasos concretos y reducir la variabilidad entre profesionales.</w:t>
      </w:r>
    </w:p>
    <w:p>
      <w:pPr>
        <w:pStyle w:val="ListBullet"/>
        <w:jc w:val="both"/>
      </w:pPr>
      <w:r>
        <w:rPr>
          <w:rFonts w:ascii="Arial" w:hAnsi="Arial" w:cs="Arial"/>
          <w:b w:val="0"/>
          <w:sz w:val="24"/>
        </w:rPr>
        <w:t>La atención ingresa por derivación del médico o del equipo del programa.</w:t>
      </w:r>
    </w:p>
    <w:p>
      <w:pPr>
        <w:pStyle w:val="ListBullet"/>
        <w:jc w:val="both"/>
      </w:pPr>
      <w:r>
        <w:rPr>
          <w:rFonts w:ascii="Arial" w:hAnsi="Arial" w:cs="Arial"/>
          <w:b w:val="0"/>
          <w:sz w:val="24"/>
        </w:rPr>
        <w:t>La visita se coordina previamente con el paciente o su cuidador mediante llamada telefónica (Anexo 5).</w:t>
      </w:r>
    </w:p>
    <w:p>
      <w:pPr>
        <w:pStyle w:val="ListBullet"/>
        <w:jc w:val="both"/>
      </w:pPr>
      <w:r>
        <w:rPr>
          <w:rFonts w:ascii="Arial" w:hAnsi="Arial" w:cs="Arial"/>
          <w:b w:val="0"/>
          <w:sz w:val="24"/>
        </w:rPr>
        <w:t>Toda la información recopilada se registra en las fichas de apoyo y luego se traspasa a la ficha clínica electrónica del establecimiento (SINET Sur).</w:t>
      </w:r>
    </w:p>
    <w:p>
      <w:r>
        <w:rPr>
          <w:rFonts w:ascii="Arial" w:hAnsi="Arial" w:cs="Arial"/>
          <w:b/>
          <w:sz w:val="24"/>
        </w:rPr>
        <w:t>5.2 Población y criterios de inclusión y exclusión</w:t>
      </w:r>
    </w:p>
    <w:p>
      <w:pPr>
        <w:jc w:val="both"/>
      </w:pPr>
      <w:r>
        <w:rPr>
          <w:rFonts w:ascii="Arial" w:hAnsi="Arial" w:cs="Arial"/>
          <w:b w:val="0"/>
          <w:sz w:val="24"/>
        </w:rPr>
        <w:t>El protocolo está dirigido a las personas adultas y mayores del Programa de Salud Cardiovascular del CESFAM Villa Nonguén, con prioridad en pacientes con polifarmacia, que dependen de un cuidador, que se descompensan con frecuencia o que tienen dificultades para acudir al centro.</w:t>
      </w:r>
    </w:p>
    <w:p>
      <w:r>
        <w:rPr>
          <w:rFonts w:ascii="Arial" w:hAnsi="Arial" w:cs="Arial"/>
          <w:b/>
          <w:sz w:val="24"/>
        </w:rPr>
        <w:t>Criterios de inclusión</w:t>
      </w:r>
    </w:p>
    <w:p>
      <w:pPr>
        <w:pStyle w:val="ListBullet"/>
        <w:jc w:val="both"/>
      </w:pPr>
      <w:r>
        <w:rPr>
          <w:rFonts w:ascii="Arial" w:hAnsi="Arial" w:cs="Arial"/>
          <w:b w:val="0"/>
          <w:sz w:val="24"/>
        </w:rPr>
        <w:t>Usuarios del Programa de Salud Cardiovascular descompensados o con control inestable.</w:t>
      </w:r>
    </w:p>
    <w:p>
      <w:pPr>
        <w:pStyle w:val="ListBullet"/>
        <w:jc w:val="both"/>
      </w:pPr>
      <w:r>
        <w:rPr>
          <w:rFonts w:ascii="Arial" w:hAnsi="Arial" w:cs="Arial"/>
          <w:b w:val="0"/>
          <w:sz w:val="24"/>
        </w:rPr>
        <w:t>Personas mayores de 18 años en seguimiento activo, sea en box o en domicilio.</w:t>
      </w:r>
    </w:p>
    <w:p>
      <w:r>
        <w:rPr>
          <w:rFonts w:ascii="Arial" w:hAnsi="Arial" w:cs="Arial"/>
          <w:b/>
          <w:sz w:val="24"/>
        </w:rPr>
        <w:t>Criterios de exclusión</w:t>
      </w:r>
    </w:p>
    <w:p>
      <w:pPr>
        <w:pStyle w:val="ListBullet"/>
        <w:jc w:val="both"/>
      </w:pPr>
      <w:r>
        <w:rPr>
          <w:rFonts w:ascii="Arial" w:hAnsi="Arial" w:cs="Arial"/>
          <w:b w:val="0"/>
          <w:sz w:val="24"/>
        </w:rPr>
        <w:t>Pacientes con barreras de comunicación que impidan la entrevista.</w:t>
      </w:r>
    </w:p>
    <w:p>
      <w:pPr>
        <w:pStyle w:val="ListBullet"/>
        <w:jc w:val="both"/>
      </w:pPr>
      <w:r>
        <w:rPr>
          <w:rFonts w:ascii="Arial" w:hAnsi="Arial" w:cs="Arial"/>
          <w:b w:val="0"/>
          <w:sz w:val="24"/>
        </w:rPr>
        <w:t>Deterioro cognitivo importante sin un cuidador que apoye.</w:t>
      </w:r>
    </w:p>
    <w:p>
      <w:pPr>
        <w:pStyle w:val="ListBullet"/>
        <w:jc w:val="both"/>
      </w:pPr>
      <w:r>
        <w:rPr>
          <w:rFonts w:ascii="Arial" w:hAnsi="Arial" w:cs="Arial"/>
          <w:b w:val="0"/>
          <w:sz w:val="24"/>
        </w:rPr>
        <w:t>Personas que viven fuera del territorio del CESFAM.</w:t>
      </w:r>
    </w:p>
    <w:p>
      <w:pPr>
        <w:pStyle w:val="ListBullet"/>
        <w:jc w:val="both"/>
      </w:pPr>
      <w:r>
        <w:rPr>
          <w:rFonts w:ascii="Arial" w:hAnsi="Arial" w:cs="Arial"/>
          <w:b w:val="0"/>
          <w:sz w:val="24"/>
        </w:rPr>
        <w:t>Usuarios que llevan más de seis meses sin asistir a sus controles.</w:t>
      </w:r>
    </w:p>
    <w:p>
      <w:r>
        <w:rPr>
          <w:rFonts w:ascii="Arial" w:hAnsi="Arial" w:cs="Arial"/>
          <w:b/>
          <w:sz w:val="24"/>
        </w:rPr>
        <w:t>5.3 Priorización de los pacientes (Capacidad)</w:t>
      </w:r>
    </w:p>
    <w:p>
      <w:pPr>
        <w:jc w:val="both"/>
      </w:pPr>
      <w:r>
        <w:rPr>
          <w:rFonts w:ascii="Arial" w:hAnsi="Arial" w:cs="Arial"/>
          <w:b w:val="0"/>
          <w:sz w:val="24"/>
        </w:rPr>
        <w:t>De acuerdo con el pilar de Capacidad del Modelo CMO, en lugar de atender a todos por igual se concentra el tiempo del Químico Farmacéutico en los pacientes que más se benefician del seguimiento. La priorización considera el riesgo cardiovascular, el grado de compensación, la polifarmacia, la dependencia de un cuidador y las dificultades de acceso al centro. La Figura 1 muestra el flujograma de priorización e intervención.</w:t>
      </w:r>
    </w:p>
    <w:p>
      <w:r>
        <w:rPr>
          <w:rFonts w:ascii="Arial" w:hAnsi="Arial" w:cs="Arial"/>
          <w:b/>
          <w:sz w:val="24"/>
        </w:rPr>
        <w:t>5.4 Modalidades de visita domiciliaria</w:t>
      </w:r>
    </w:p>
    <w:p>
      <w:pPr>
        <w:jc w:val="both"/>
      </w:pPr>
      <w:r>
        <w:rPr>
          <w:rFonts w:ascii="Arial" w:hAnsi="Arial" w:cs="Arial"/>
          <w:b w:val="0"/>
          <w:sz w:val="24"/>
        </w:rPr>
        <w:t>Según el motivo de la derivación y la complejidad del caso, la visita puede adoptar dos formas:</w:t>
      </w:r>
    </w:p>
    <w:p>
      <w:pPr>
        <w:pStyle w:val="ListBullet"/>
        <w:jc w:val="both"/>
      </w:pPr>
      <w:r>
        <w:rPr>
          <w:rFonts w:ascii="Arial" w:hAnsi="Arial" w:cs="Arial"/>
          <w:b w:val="0"/>
          <w:sz w:val="24"/>
        </w:rPr>
        <w:t>Seguimiento farmacoterapéutico: dirigido a los pacientes descompensados. Contempla al menos tres visitas y, si el caso lo amerita, alguna adicional.</w:t>
      </w:r>
    </w:p>
    <w:p>
      <w:pPr>
        <w:pStyle w:val="ListBullet"/>
        <w:jc w:val="both"/>
      </w:pPr>
      <w:r>
        <w:rPr>
          <w:rFonts w:ascii="Arial" w:hAnsi="Arial" w:cs="Arial"/>
          <w:b w:val="0"/>
          <w:sz w:val="24"/>
        </w:rPr>
        <w:t>Visita domiciliaria puntual: orientada a los usuarios derivados por sospecha de falta de adherencia, por el inicio de un tratamiento que aún no comprenden, por polifarmacia o por edad avanzada. Se revisa en una sola instancia cómo están usando sus medicamentos.</w:t>
      </w:r>
    </w:p>
    <w:p>
      <w:pPr>
        <w:jc w:val="both"/>
      </w:pPr>
      <w:r>
        <w:rPr>
          <w:rFonts w:ascii="Arial" w:hAnsi="Arial" w:cs="Arial"/>
          <w:b w:val="0"/>
          <w:sz w:val="24"/>
        </w:rPr>
        <w:t>La Figura 2 muestra cómo se decide, a partir de la derivación, cuál de las dos modalidades corresponde, y la Figura 3 detalla el recorrido de la visita puntual.</w:t>
      </w:r>
    </w:p>
    <w:p>
      <w:r>
        <w:rPr>
          <w:rFonts w:ascii="Arial" w:hAnsi="Arial" w:cs="Arial"/>
          <w:b/>
          <w:sz w:val="24"/>
        </w:rPr>
        <w:t>5.5 Etapas de la visita y desarrollo de la entrevista</w:t>
      </w:r>
    </w:p>
    <w:p>
      <w:pPr>
        <w:jc w:val="both"/>
      </w:pPr>
      <w:r>
        <w:rPr>
          <w:rFonts w:ascii="Arial" w:hAnsi="Arial" w:cs="Arial"/>
          <w:b w:val="0"/>
          <w:sz w:val="24"/>
        </w:rPr>
        <w:t>La visita se organiza en tres etapas de contacto directo, que recogen los pilares del modelo:</w:t>
      </w:r>
    </w:p>
    <w:p>
      <w:pPr>
        <w:pStyle w:val="ListBullet"/>
        <w:jc w:val="both"/>
      </w:pPr>
      <w:r>
        <w:rPr>
          <w:rFonts w:ascii="Arial" w:hAnsi="Arial" w:cs="Arial"/>
          <w:b w:val="0"/>
          <w:sz w:val="24"/>
        </w:rPr>
        <w:t>Entrevista inicial (Capacidad): se recopilan los antecedentes y se revisa el botiquín del hogar para conciliar la medicación que el paciente realmente toma con la que tiene indicada.</w:t>
      </w:r>
    </w:p>
    <w:p>
      <w:pPr>
        <w:pStyle w:val="ListBullet"/>
        <w:jc w:val="both"/>
      </w:pPr>
      <w:r>
        <w:rPr>
          <w:rFonts w:ascii="Arial" w:hAnsi="Arial" w:cs="Arial"/>
          <w:b w:val="0"/>
          <w:sz w:val="24"/>
        </w:rPr>
        <w:t>Entrevista de intervención (Motivación): se resuelven los problemas detectados y se trabaja la adherencia con enfoque motivacional, abordando las creencias y las dificultades del paciente y buscando acuerdos.</w:t>
      </w:r>
    </w:p>
    <w:p>
      <w:pPr>
        <w:pStyle w:val="ListBullet"/>
        <w:jc w:val="both"/>
      </w:pPr>
      <w:r>
        <w:rPr>
          <w:rFonts w:ascii="Arial" w:hAnsi="Arial" w:cs="Arial"/>
          <w:b w:val="0"/>
          <w:sz w:val="24"/>
        </w:rPr>
        <w:t>Entrevista de seguimiento (Oportunidad): se reevalúa la farmacoterapia, se refuerza la educación y se cuida la continuidad del proceso, incentivando al paciente a acercarse a la farmacia o a comunicarse por vía telefónica cuando lo necesite.</w:t>
      </w:r>
    </w:p>
    <w:p>
      <w:r>
        <w:rPr>
          <w:rFonts w:ascii="Arial" w:hAnsi="Arial" w:cs="Arial"/>
          <w:b/>
          <w:sz w:val="24"/>
        </w:rPr>
        <w:t>5.6 Instrumentos y herramientas de evaluación</w:t>
      </w:r>
    </w:p>
    <w:p>
      <w:pPr>
        <w:pStyle w:val="ListBullet"/>
        <w:jc w:val="both"/>
      </w:pPr>
      <w:r>
        <w:rPr>
          <w:rFonts w:ascii="Arial" w:hAnsi="Arial" w:cs="Arial"/>
          <w:b w:val="0"/>
          <w:sz w:val="24"/>
        </w:rPr>
        <w:t>La adherencia se evalúa con el test de Morisky-Green-Levine de cuatro preguntas (Anexo 2), que en algunos casos se complementa con el test de Batalla para conocer el grado de conocimiento del paciente sobre su enfermedad.</w:t>
      </w:r>
    </w:p>
    <w:p>
      <w:pPr>
        <w:pStyle w:val="ListBullet"/>
        <w:jc w:val="both"/>
      </w:pPr>
      <w:r>
        <w:rPr>
          <w:rFonts w:ascii="Arial" w:hAnsi="Arial" w:cs="Arial"/>
          <w:b w:val="0"/>
          <w:sz w:val="24"/>
        </w:rPr>
        <w:t>El Químico Farmacéutico interpreta la información clínica disponible para orientar la atención, anticipar los problemas relacionados con los medicamentos y reforzar la adherencia, apoyándose en herramientas como el método Dáder y los pilares del Modelo CMO.</w:t>
      </w:r>
    </w:p>
    <w:p>
      <w:pPr>
        <w:pStyle w:val="ListBullet"/>
        <w:jc w:val="both"/>
      </w:pPr>
      <w:r>
        <w:rPr>
          <w:rFonts w:ascii="Arial" w:hAnsi="Arial" w:cs="Arial"/>
          <w:b w:val="0"/>
          <w:sz w:val="24"/>
        </w:rPr>
        <w:t>Durante la visita se mide la presión arterial con un tensiómetro de brazo, práctica ya habitual que permite estimar el grado de compensación del paciente en el momento.</w:t>
      </w:r>
    </w:p>
    <w:p>
      <w:pPr>
        <w:pStyle w:val="ListBullet"/>
        <w:jc w:val="both"/>
      </w:pPr>
      <w:r>
        <w:rPr>
          <w:rFonts w:ascii="Arial" w:hAnsi="Arial" w:cs="Arial"/>
          <w:b w:val="0"/>
          <w:sz w:val="24"/>
        </w:rPr>
        <w:t>Se utiliza una ficha de conciliación (Anexo 1), una ficha de seguimiento farmacoterapéutico (Anexo 3) y una hoja con el esquema de horarios de medicación (Anexo 4).</w:t>
      </w:r>
    </w:p>
    <w:p>
      <w:r>
        <w:rPr>
          <w:rFonts w:ascii="Arial" w:hAnsi="Arial" w:cs="Arial"/>
          <w:b/>
          <w:sz w:val="24"/>
        </w:rPr>
        <w:t>5.7 Clasificación y resolución de PRM y RNM</w:t>
      </w:r>
    </w:p>
    <w:p>
      <w:pPr>
        <w:jc w:val="both"/>
      </w:pPr>
      <w:r>
        <w:rPr>
          <w:rFonts w:ascii="Arial" w:hAnsi="Arial" w:cs="Arial"/>
          <w:b w:val="0"/>
          <w:sz w:val="24"/>
        </w:rPr>
        <w:t>Los problemas relacionados con los medicamentos y los resultados negativos asociados a la medicación se ordenan según sean de necesidad, efectividad o seguridad, siguiendo el Consenso de Granada (Anexo 6). Cada problema detectado se acompaña de una medida para resolverlo, recogida en el Anexo 7, siempre dejando la sugerencia en la ficha clínica para el médico que corresponda.</w:t>
      </w:r>
    </w:p>
    <w:p>
      <w:r>
        <w:rPr>
          <w:rFonts w:ascii="Arial" w:hAnsi="Arial" w:cs="Arial"/>
          <w:b/>
          <w:sz w:val="24"/>
        </w:rPr>
        <w:t>5.8 Farmacovigilancia</w:t>
      </w:r>
    </w:p>
    <w:p>
      <w:pPr>
        <w:jc w:val="both"/>
      </w:pPr>
      <w:r>
        <w:rPr>
          <w:rFonts w:ascii="Arial" w:hAnsi="Arial" w:cs="Arial"/>
          <w:b w:val="0"/>
          <w:sz w:val="24"/>
        </w:rPr>
        <w:t>Las reacciones adversas a medicamentos se notifican según la Norma Técnica N.º 140 sobre el Sistema Nacional de Farmacovigilancia de Productos Farmacéuticos de Uso Humano, utilizando el algoritmo de causalidad de la OMS.</w:t>
      </w:r>
    </w:p>
    <w:p>
      <w:r>
        <w:rPr>
          <w:rFonts w:ascii="Arial" w:hAnsi="Arial" w:cs="Arial"/>
          <w:b/>
          <w:sz w:val="24"/>
        </w:rPr>
        <w:t>5.9 Registro de la atención</w:t>
      </w:r>
    </w:p>
    <w:p>
      <w:pPr>
        <w:jc w:val="both"/>
      </w:pPr>
      <w:r>
        <w:rPr>
          <w:rFonts w:ascii="Arial" w:hAnsi="Arial" w:cs="Arial"/>
          <w:b w:val="0"/>
          <w:sz w:val="24"/>
        </w:rPr>
        <w:t>La información que se obtiene en cada visita se anota primero en las fichas de apoyo y luego se traspasa a la ficha clínica electrónica del establecimiento (SINET Sur), de modo que sea trazable y quede disponible para el resto del equipo. En la ficha se deja constancia de la conciliación, de los PRM y RNM detectados, de las intervenciones realizadas y de las derivaciones o acuerdos con el médico.</w:t>
      </w:r>
    </w:p>
    <w:p>
      <w:r>
        <w:rPr>
          <w:rFonts w:ascii="Arial" w:hAnsi="Arial" w:cs="Arial"/>
          <w:b/>
          <w:sz w:val="24"/>
        </w:rPr>
        <w:t>6.- INDICADOR</w:t>
      </w:r>
    </w:p>
    <w:p>
      <w:pPr>
        <w:pStyle w:val="ListBullet"/>
        <w:jc w:val="both"/>
      </w:pPr>
      <w:r>
        <w:rPr>
          <w:rFonts w:ascii="Arial" w:hAnsi="Arial" w:cs="Arial"/>
          <w:b w:val="0"/>
          <w:sz w:val="24"/>
        </w:rPr>
        <w:t>Porcentaje de pacientes priorizados que completan el seguimiento farmacoterapéutico domiciliario (al menos tres visitas), calculado como el número de pacientes que completan el seguimiento sobre el número de pacientes ingresados al protocolo, multiplicado por cien.</w:t>
      </w:r>
    </w:p>
    <w:p>
      <w:pPr>
        <w:pStyle w:val="ListBullet"/>
        <w:jc w:val="both"/>
      </w:pPr>
      <w:r>
        <w:rPr>
          <w:rFonts w:ascii="Arial" w:hAnsi="Arial" w:cs="Arial"/>
          <w:b w:val="0"/>
          <w:sz w:val="24"/>
        </w:rPr>
        <w:t>El registro y la meta del indicador se encuentran en la carpeta de indicadores de la Unidad de Farmacia.</w:t>
      </w:r>
    </w:p>
    <w:p>
      <w:r>
        <w:rPr>
          <w:rFonts w:ascii="Arial" w:hAnsi="Arial" w:cs="Arial"/>
          <w:b/>
          <w:sz w:val="24"/>
        </w:rPr>
        <w:t>7.- DISTRIBUCIÓN</w:t>
      </w:r>
    </w:p>
    <w:p>
      <w:pPr>
        <w:pStyle w:val="ListBullet"/>
        <w:jc w:val="both"/>
      </w:pPr>
      <w:r>
        <w:rPr>
          <w:rFonts w:ascii="Arial" w:hAnsi="Arial" w:cs="Arial"/>
          <w:b w:val="0"/>
          <w:sz w:val="24"/>
        </w:rPr>
        <w:t>Dirección, CESFAM Villa Nonguén.</w:t>
      </w:r>
    </w:p>
    <w:p>
      <w:pPr>
        <w:pStyle w:val="ListBullet"/>
        <w:jc w:val="both"/>
      </w:pPr>
      <w:r>
        <w:rPr>
          <w:rFonts w:ascii="Arial" w:hAnsi="Arial" w:cs="Arial"/>
          <w:b w:val="0"/>
          <w:sz w:val="24"/>
        </w:rPr>
        <w:t>Unidad de Farmacia, CESFAM Villa Nonguén.</w:t>
      </w:r>
    </w:p>
    <w:p>
      <w:pPr>
        <w:pStyle w:val="ListBullet"/>
        <w:jc w:val="both"/>
      </w:pPr>
      <w:r>
        <w:rPr>
          <w:rFonts w:ascii="Arial" w:hAnsi="Arial" w:cs="Arial"/>
          <w:b w:val="0"/>
          <w:sz w:val="24"/>
        </w:rPr>
        <w:t>Unidad de Calidad, CESFAM Villa Nonguén.</w:t>
      </w:r>
    </w:p>
    <w:p>
      <w:pPr>
        <w:pStyle w:val="ListBullet"/>
        <w:jc w:val="both"/>
      </w:pPr>
      <w:r>
        <w:rPr>
          <w:rFonts w:ascii="Arial" w:hAnsi="Arial" w:cs="Arial"/>
          <w:b w:val="0"/>
          <w:sz w:val="24"/>
        </w:rPr>
        <w:t>Unidad de Farmacia, Depto. de Articulación y Gestión de la Red, Servicio de Salud Concepción.</w:t>
      </w:r>
    </w:p>
    <w:p>
      <w:r>
        <w:rPr>
          <w:rFonts w:ascii="Arial" w:hAnsi="Arial" w:cs="Arial"/>
          <w:b/>
          <w:sz w:val="24"/>
        </w:rPr>
        <w:t>8.- BIBLIOGRAFÍA</w:t>
      </w:r>
    </w:p>
    <w:p>
      <w:pPr>
        <w:pStyle w:val="ListBullet"/>
        <w:jc w:val="both"/>
      </w:pPr>
      <w:r>
        <w:rPr>
          <w:rFonts w:ascii="Arial" w:hAnsi="Arial" w:cs="Arial"/>
          <w:b w:val="0"/>
          <w:sz w:val="22"/>
        </w:rPr>
        <w:t>Calleja Hernández, M. Á., &amp; Morillo Verdugo, R. (Eds.). (2016). El modelo CMO en Atención Farmacéutica. Sociedad Española de Farmacia Hospitalaria.</w:t>
      </w:r>
    </w:p>
    <w:p>
      <w:pPr>
        <w:pStyle w:val="ListBullet"/>
        <w:jc w:val="both"/>
      </w:pPr>
      <w:r>
        <w:rPr>
          <w:rFonts w:ascii="Arial" w:hAnsi="Arial" w:cs="Arial"/>
          <w:b w:val="0"/>
          <w:sz w:val="22"/>
        </w:rPr>
        <w:t>Comité de Consenso de Granada. (2007). Tercer Consenso de Granada sobre problemas relacionados con medicamentos (PRM) y resultados negativos asociados a la medicación (RNM). Ars Pharmaceutica, 48(1), 5-17.</w:t>
      </w:r>
    </w:p>
    <w:p>
      <w:pPr>
        <w:pStyle w:val="ListBullet"/>
        <w:jc w:val="both"/>
      </w:pPr>
      <w:r>
        <w:rPr>
          <w:rFonts w:ascii="Arial" w:hAnsi="Arial" w:cs="Arial"/>
          <w:b w:val="0"/>
          <w:sz w:val="22"/>
        </w:rPr>
        <w:t>Ministerio de Salud de Chile. (2017). Orientación técnica Programa de Salud Cardiovascular. Gobierno de Chile.</w:t>
      </w:r>
    </w:p>
    <w:p>
      <w:pPr>
        <w:pStyle w:val="ListBullet"/>
        <w:jc w:val="both"/>
      </w:pPr>
      <w:r>
        <w:rPr>
          <w:rFonts w:ascii="Arial" w:hAnsi="Arial" w:cs="Arial"/>
          <w:b w:val="0"/>
          <w:sz w:val="22"/>
        </w:rPr>
        <w:t>Ministerio de Salud de Chile. (2017). Norma Técnica N.º 140 sobre el Sistema Nacional de Farmacovigilancia de Productos Farmacéuticos de Uso Humano. Gobierno de Chile.</w:t>
      </w:r>
    </w:p>
    <w:p>
      <w:pPr>
        <w:pStyle w:val="ListBullet"/>
        <w:jc w:val="both"/>
      </w:pPr>
      <w:r>
        <w:rPr>
          <w:rFonts w:ascii="Arial" w:hAnsi="Arial" w:cs="Arial"/>
          <w:b w:val="0"/>
          <w:sz w:val="22"/>
        </w:rPr>
        <w:t>Ministerio de Salud de Chile. (2018). Guía de Atención Farmacéutica y seguimiento farmacoterapéutico en APS. Gobierno de Chile.</w:t>
      </w:r>
    </w:p>
    <w:p>
      <w:pPr>
        <w:pStyle w:val="ListBullet"/>
        <w:jc w:val="both"/>
      </w:pPr>
      <w:r>
        <w:rPr>
          <w:rFonts w:ascii="Arial" w:hAnsi="Arial" w:cs="Arial"/>
          <w:b w:val="0"/>
          <w:sz w:val="22"/>
        </w:rPr>
        <w:t>Morisky, D. E., Green, L. W., &amp; Levine, D. M. (1986). Concurrent and predictive validity of a self-reported measure of medication adherence. Medical Care, 24(1), 67-74.</w:t>
      </w:r>
    </w:p>
    <w:p>
      <w:pPr>
        <w:pStyle w:val="ListBullet"/>
        <w:jc w:val="both"/>
      </w:pPr>
      <w:r>
        <w:rPr>
          <w:rFonts w:ascii="Arial" w:hAnsi="Arial" w:cs="Arial"/>
          <w:b w:val="0"/>
          <w:sz w:val="22"/>
        </w:rPr>
        <w:t>Batalla, C., Blanquer, A., Ciurana, R., García, M., et al. (1984). Cumplimiento de la prescripción farmacológica en pacientes hipertensos. Atención Primaria, 1(4), 185-191.</w:t>
      </w:r>
    </w:p>
    <w:p>
      <w:pPr>
        <w:pStyle w:val="ListBullet"/>
        <w:jc w:val="both"/>
      </w:pPr>
      <w:r>
        <w:rPr>
          <w:rFonts w:ascii="Arial" w:hAnsi="Arial" w:cs="Arial"/>
          <w:b w:val="0"/>
          <w:sz w:val="22"/>
        </w:rPr>
        <w:t>Faúndez Navarrete, P. A. (2020). Evaluación del programa de Atención Farmacéutica del CESFAM Villa Nonguén [Memoria de título, Universidad de Concepción].</w:t>
      </w:r>
    </w:p>
    <w:p>
      <w:r>
        <w:rPr>
          <w:rFonts w:ascii="Arial" w:hAnsi="Arial" w:cs="Arial"/>
          <w:b/>
          <w:sz w:val="24"/>
        </w:rPr>
        <w:t>9.- ANEXOS</w:t>
      </w:r>
    </w:p>
    <w:p>
      <w:pPr>
        <w:jc w:val="both"/>
      </w:pPr>
      <w:r>
        <w:rPr>
          <w:rFonts w:ascii="Arial" w:hAnsi="Arial" w:cs="Arial"/>
          <w:b w:val="0"/>
          <w:sz w:val="24"/>
        </w:rPr>
        <w:t>Los anexos reúnen los instrumentos de apoyo que acompañan al protocolo. Son formatos de trabajo pensados para usarse durante la visita domiciliaria y el seguimiento, y pueden ajustarse a los registros propios del establecimiento.</w:t>
      </w:r>
    </w:p>
    <w:p>
      <w:r>
        <w:rPr>
          <w:rFonts w:ascii="Arial" w:hAnsi="Arial" w:cs="Arial"/>
          <w:b/>
          <w:sz w:val="24"/>
        </w:rPr>
        <w:t>Anexo 1. Ficha de conciliación farmacéutica</w:t>
      </w:r>
    </w:p>
    <w:p>
      <w:pPr>
        <w:pStyle w:val="ListBullet"/>
        <w:jc w:val="both"/>
      </w:pPr>
      <w:r>
        <w:rPr>
          <w:rFonts w:ascii="Arial" w:hAnsi="Arial" w:cs="Arial"/>
          <w:b w:val="0"/>
          <w:sz w:val="24"/>
        </w:rPr>
        <w:t>Identificación del paciente, sector y fecha de la conciliación.</w:t>
      </w:r>
    </w:p>
    <w:p>
      <w:pPr>
        <w:pStyle w:val="ListBullet"/>
        <w:jc w:val="both"/>
      </w:pPr>
      <w:r>
        <w:rPr>
          <w:rFonts w:ascii="Arial" w:hAnsi="Arial" w:cs="Arial"/>
          <w:b w:val="0"/>
          <w:sz w:val="24"/>
        </w:rPr>
        <w:t>Listado de medicamentos indicados, con dosis y horario.</w:t>
      </w:r>
    </w:p>
    <w:p>
      <w:pPr>
        <w:pStyle w:val="ListBullet"/>
        <w:jc w:val="both"/>
      </w:pPr>
      <w:r>
        <w:rPr>
          <w:rFonts w:ascii="Arial" w:hAnsi="Arial" w:cs="Arial"/>
          <w:b w:val="0"/>
          <w:sz w:val="24"/>
        </w:rPr>
        <w:t>Medicamentos que el paciente realmente toma (incluidos los no prescritos y los de venta libre).</w:t>
      </w:r>
    </w:p>
    <w:p>
      <w:pPr>
        <w:pStyle w:val="ListBullet"/>
        <w:jc w:val="both"/>
      </w:pPr>
      <w:r>
        <w:rPr>
          <w:rFonts w:ascii="Arial" w:hAnsi="Arial" w:cs="Arial"/>
          <w:b w:val="0"/>
          <w:sz w:val="24"/>
        </w:rPr>
        <w:t>Diferencias detectadas y decisión adoptada (mantener, iniciar, suspender o ajustar).</w:t>
      </w:r>
    </w:p>
    <w:p>
      <w:pPr>
        <w:pStyle w:val="ListBullet"/>
        <w:jc w:val="both"/>
      </w:pPr>
      <w:r>
        <w:rPr>
          <w:rFonts w:ascii="Arial" w:hAnsi="Arial" w:cs="Arial"/>
          <w:b w:val="0"/>
          <w:sz w:val="24"/>
        </w:rPr>
        <w:t>Nombre y firma del Químico Farmacéutico.</w:t>
      </w:r>
    </w:p>
    <w:p>
      <w:r>
        <w:rPr>
          <w:rFonts w:ascii="Arial" w:hAnsi="Arial" w:cs="Arial"/>
          <w:b/>
          <w:sz w:val="24"/>
        </w:rPr>
        <w:t>Anexo 2. Test de adherencia de Morisky-Green-Levine</w:t>
      </w:r>
    </w:p>
    <w:tbl>
      <w:tblPr>
        <w:tblStyle w:val="TableGrid"/>
        <w:tblW w:type="auto" w:w="0"/>
        <w:tblLook w:firstColumn="1" w:firstRow="1" w:lastColumn="0" w:lastRow="0" w:noHBand="0" w:noVBand="1" w:val="04A0"/>
      </w:tblPr>
      <w:tblGrid>
        <w:gridCol w:w="4703"/>
        <w:gridCol w:w="4703"/>
      </w:tblGrid>
      <w:tr>
        <w:tc>
          <w:tcPr>
            <w:tcW w:type="dxa" w:w="4703"/>
            <w:shd w:val="clear" w:color="auto" w:fill="D9D9D9"/>
          </w:tcPr>
          <w:p>
            <w:pPr>
              <w:jc w:val="center"/>
            </w:pPr>
            <w:r/>
            <w:r>
              <w:rPr>
                <w:rFonts w:ascii="Arial" w:hAnsi="Arial" w:cs="Arial"/>
                <w:b/>
                <w:sz w:val="22"/>
              </w:rPr>
              <w:t>Pregunta</w:t>
            </w:r>
          </w:p>
        </w:tc>
        <w:tc>
          <w:tcPr>
            <w:tcW w:type="dxa" w:w="4703"/>
            <w:shd w:val="clear" w:color="auto" w:fill="D9D9D9"/>
          </w:tcPr>
          <w:p>
            <w:pPr>
              <w:jc w:val="center"/>
            </w:pPr>
            <w:r/>
            <w:r>
              <w:rPr>
                <w:rFonts w:ascii="Arial" w:hAnsi="Arial" w:cs="Arial"/>
                <w:b/>
                <w:sz w:val="22"/>
              </w:rPr>
              <w:t>Respuesta esperada</w:t>
            </w:r>
          </w:p>
        </w:tc>
      </w:tr>
      <w:tr>
        <w:tc>
          <w:tcPr>
            <w:tcW w:type="dxa" w:w="4703"/>
          </w:tcPr>
          <w:p>
            <w:r/>
            <w:r>
              <w:rPr>
                <w:rFonts w:ascii="Arial" w:hAnsi="Arial" w:cs="Arial"/>
                <w:b w:val="0"/>
                <w:sz w:val="22"/>
              </w:rPr>
              <w:t>¿Se olvida alguna vez de tomar sus medicamentos?</w:t>
            </w:r>
          </w:p>
        </w:tc>
        <w:tc>
          <w:tcPr>
            <w:tcW w:type="dxa" w:w="4703"/>
          </w:tcPr>
          <w:p>
            <w:pPr>
              <w:jc w:val="center"/>
            </w:pPr>
            <w:r/>
            <w:r>
              <w:rPr>
                <w:rFonts w:ascii="Arial" w:hAnsi="Arial" w:cs="Arial"/>
                <w:b w:val="0"/>
                <w:sz w:val="22"/>
              </w:rPr>
              <w:t>No</w:t>
            </w:r>
          </w:p>
        </w:tc>
      </w:tr>
      <w:tr>
        <w:tc>
          <w:tcPr>
            <w:tcW w:type="dxa" w:w="4703"/>
          </w:tcPr>
          <w:p>
            <w:r/>
            <w:r>
              <w:rPr>
                <w:rFonts w:ascii="Arial" w:hAnsi="Arial" w:cs="Arial"/>
                <w:b w:val="0"/>
                <w:sz w:val="22"/>
              </w:rPr>
              <w:t>¿Toma los medicamentos a las horas indicadas?</w:t>
            </w:r>
          </w:p>
        </w:tc>
        <w:tc>
          <w:tcPr>
            <w:tcW w:type="dxa" w:w="4703"/>
          </w:tcPr>
          <w:p>
            <w:pPr>
              <w:jc w:val="center"/>
            </w:pPr>
            <w:r/>
            <w:r>
              <w:rPr>
                <w:rFonts w:ascii="Arial" w:hAnsi="Arial" w:cs="Arial"/>
                <w:b w:val="0"/>
                <w:sz w:val="22"/>
              </w:rPr>
              <w:t>Sí</w:t>
            </w:r>
          </w:p>
        </w:tc>
      </w:tr>
      <w:tr>
        <w:tc>
          <w:tcPr>
            <w:tcW w:type="dxa" w:w="4703"/>
          </w:tcPr>
          <w:p>
            <w:r/>
            <w:r>
              <w:rPr>
                <w:rFonts w:ascii="Arial" w:hAnsi="Arial" w:cs="Arial"/>
                <w:b w:val="0"/>
                <w:sz w:val="22"/>
              </w:rPr>
              <w:t>Cuando se siente bien, ¿deja alguna vez de tomarlos?</w:t>
            </w:r>
          </w:p>
        </w:tc>
        <w:tc>
          <w:tcPr>
            <w:tcW w:type="dxa" w:w="4703"/>
          </w:tcPr>
          <w:p>
            <w:pPr>
              <w:jc w:val="center"/>
            </w:pPr>
            <w:r/>
            <w:r>
              <w:rPr>
                <w:rFonts w:ascii="Arial" w:hAnsi="Arial" w:cs="Arial"/>
                <w:b w:val="0"/>
                <w:sz w:val="22"/>
              </w:rPr>
              <w:t>No</w:t>
            </w:r>
          </w:p>
        </w:tc>
      </w:tr>
      <w:tr>
        <w:tc>
          <w:tcPr>
            <w:tcW w:type="dxa" w:w="4703"/>
          </w:tcPr>
          <w:p>
            <w:r/>
            <w:r>
              <w:rPr>
                <w:rFonts w:ascii="Arial" w:hAnsi="Arial" w:cs="Arial"/>
                <w:b w:val="0"/>
                <w:sz w:val="22"/>
              </w:rPr>
              <w:t>Si alguna vez le sientan mal, ¿deja de tomar la medicación?</w:t>
            </w:r>
          </w:p>
        </w:tc>
        <w:tc>
          <w:tcPr>
            <w:tcW w:type="dxa" w:w="4703"/>
          </w:tcPr>
          <w:p>
            <w:pPr>
              <w:jc w:val="center"/>
            </w:pPr>
            <w:r/>
            <w:r>
              <w:rPr>
                <w:rFonts w:ascii="Arial" w:hAnsi="Arial" w:cs="Arial"/>
                <w:b w:val="0"/>
                <w:sz w:val="22"/>
              </w:rPr>
              <w:t>No</w:t>
            </w:r>
          </w:p>
        </w:tc>
      </w:tr>
    </w:tbl>
    <w:p>
      <w:pPr>
        <w:jc w:val="both"/>
      </w:pPr>
      <w:r>
        <w:rPr>
          <w:rFonts w:ascii="Arial" w:hAnsi="Arial" w:cs="Arial"/>
          <w:b w:val="0"/>
          <w:sz w:val="24"/>
        </w:rPr>
        <w:t>Se considera adherente al paciente que responde de la forma esperada las cuatro preguntas (no, sí, no, no). Cualquier otra combinación indica problemas de adherencia que conviene abordar en la entrevista.</w:t>
      </w:r>
    </w:p>
    <w:p>
      <w:r>
        <w:rPr>
          <w:rFonts w:ascii="Arial" w:hAnsi="Arial" w:cs="Arial"/>
          <w:b/>
          <w:sz w:val="24"/>
        </w:rPr>
        <w:t>Anexo 3. Ficha de seguimiento farmacoterapéutico</w:t>
      </w:r>
    </w:p>
    <w:p>
      <w:pPr>
        <w:pStyle w:val="ListBullet"/>
        <w:jc w:val="both"/>
      </w:pPr>
      <w:r>
        <w:rPr>
          <w:rFonts w:ascii="Arial" w:hAnsi="Arial" w:cs="Arial"/>
          <w:b w:val="0"/>
          <w:sz w:val="24"/>
        </w:rPr>
        <w:t>Datos generales, problemas de salud y antecedentes clínicos relevantes.</w:t>
      </w:r>
    </w:p>
    <w:p>
      <w:pPr>
        <w:pStyle w:val="ListBullet"/>
        <w:jc w:val="both"/>
      </w:pPr>
      <w:r>
        <w:rPr>
          <w:rFonts w:ascii="Arial" w:hAnsi="Arial" w:cs="Arial"/>
          <w:b w:val="0"/>
          <w:sz w:val="24"/>
        </w:rPr>
        <w:t>Medicamentos, con pauta indicada y pauta usada.</w:t>
      </w:r>
    </w:p>
    <w:p>
      <w:pPr>
        <w:pStyle w:val="ListBullet"/>
        <w:jc w:val="both"/>
      </w:pPr>
      <w:r>
        <w:rPr>
          <w:rFonts w:ascii="Arial" w:hAnsi="Arial" w:cs="Arial"/>
          <w:b w:val="0"/>
          <w:sz w:val="24"/>
        </w:rPr>
        <w:t>PRM y RNM detectados, con su clasificación.</w:t>
      </w:r>
    </w:p>
    <w:p>
      <w:pPr>
        <w:pStyle w:val="ListBullet"/>
        <w:jc w:val="both"/>
      </w:pPr>
      <w:r>
        <w:rPr>
          <w:rFonts w:ascii="Arial" w:hAnsi="Arial" w:cs="Arial"/>
          <w:b w:val="0"/>
          <w:sz w:val="24"/>
        </w:rPr>
        <w:t>Intervenciones realizadas y su resultado (aceptada o no aceptada).</w:t>
      </w:r>
    </w:p>
    <w:p>
      <w:pPr>
        <w:pStyle w:val="ListBullet"/>
        <w:jc w:val="both"/>
      </w:pPr>
      <w:r>
        <w:rPr>
          <w:rFonts w:ascii="Arial" w:hAnsi="Arial" w:cs="Arial"/>
          <w:b w:val="0"/>
          <w:sz w:val="24"/>
        </w:rPr>
        <w:t>Derivaciones y acuerdos con el médico u otros profesionales.</w:t>
      </w:r>
    </w:p>
    <w:p>
      <w:r>
        <w:rPr>
          <w:rFonts w:ascii="Arial" w:hAnsi="Arial" w:cs="Arial"/>
          <w:b/>
          <w:sz w:val="24"/>
        </w:rPr>
        <w:t>Anexo 4. Hoja de esquema de horarios de medicación</w:t>
      </w:r>
    </w:p>
    <w:p>
      <w:pPr>
        <w:jc w:val="both"/>
      </w:pPr>
      <w:r>
        <w:rPr>
          <w:rFonts w:ascii="Arial" w:hAnsi="Arial" w:cs="Arial"/>
          <w:b w:val="0"/>
          <w:sz w:val="24"/>
        </w:rPr>
        <w:t>Material de apoyo para el paciente y su cuidador, que ordena en una tabla simple qué medicamento tomar y a qué hora (mañana, mediodía, tarde y noche), con espacio para observaciones.</w:t>
      </w:r>
    </w:p>
    <w:p>
      <w:r>
        <w:rPr>
          <w:rFonts w:ascii="Arial" w:hAnsi="Arial" w:cs="Arial"/>
          <w:b/>
          <w:sz w:val="24"/>
        </w:rPr>
        <w:t>Anexo 5. Protocolo de llamada telefónica</w:t>
      </w:r>
    </w:p>
    <w:p>
      <w:pPr>
        <w:pStyle w:val="ListNumber"/>
        <w:jc w:val="both"/>
      </w:pPr>
      <w:r>
        <w:rPr>
          <w:rFonts w:ascii="Arial" w:hAnsi="Arial" w:cs="Arial"/>
          <w:b w:val="0"/>
          <w:sz w:val="24"/>
        </w:rPr>
        <w:t>Saludo e identificación como interno o Químico Farmacéutico del CESFAM.</w:t>
      </w:r>
    </w:p>
    <w:p>
      <w:pPr>
        <w:pStyle w:val="ListNumber"/>
        <w:jc w:val="both"/>
      </w:pPr>
      <w:r>
        <w:rPr>
          <w:rFonts w:ascii="Arial" w:hAnsi="Arial" w:cs="Arial"/>
          <w:b w:val="0"/>
          <w:sz w:val="24"/>
        </w:rPr>
        <w:t>Explicación del motivo del llamado y del propósito de la visita.</w:t>
      </w:r>
    </w:p>
    <w:p>
      <w:pPr>
        <w:pStyle w:val="ListNumber"/>
        <w:jc w:val="both"/>
      </w:pPr>
      <w:r>
        <w:rPr>
          <w:rFonts w:ascii="Arial" w:hAnsi="Arial" w:cs="Arial"/>
          <w:b w:val="0"/>
          <w:sz w:val="24"/>
        </w:rPr>
        <w:t>Confirmación de la dirección y acuerdo de día y hora.</w:t>
      </w:r>
    </w:p>
    <w:p>
      <w:pPr>
        <w:pStyle w:val="ListNumber"/>
        <w:jc w:val="both"/>
      </w:pPr>
      <w:r>
        <w:rPr>
          <w:rFonts w:ascii="Arial" w:hAnsi="Arial" w:cs="Arial"/>
          <w:b w:val="0"/>
          <w:sz w:val="24"/>
        </w:rPr>
        <w:t>Recordatorio de tener a mano sus medicamentos y recetas.</w:t>
      </w:r>
    </w:p>
    <w:p>
      <w:pPr>
        <w:pStyle w:val="ListNumber"/>
        <w:jc w:val="both"/>
      </w:pPr>
      <w:r>
        <w:rPr>
          <w:rFonts w:ascii="Arial" w:hAnsi="Arial" w:cs="Arial"/>
          <w:b w:val="0"/>
          <w:sz w:val="24"/>
        </w:rPr>
        <w:t>Despedida y datos de contacto ante dudas.</w:t>
      </w:r>
    </w:p>
    <w:p>
      <w:r>
        <w:rPr>
          <w:rFonts w:ascii="Arial" w:hAnsi="Arial" w:cs="Arial"/>
          <w:b/>
          <w:sz w:val="24"/>
        </w:rPr>
        <w:t>Anexo 6. Clasificación de los PRM y RNM</w:t>
      </w:r>
    </w:p>
    <w:tbl>
      <w:tblPr>
        <w:tblStyle w:val="TableGrid"/>
        <w:tblW w:type="auto" w:w="0"/>
        <w:tblLook w:firstColumn="1" w:firstRow="1" w:lastColumn="0" w:lastRow="0" w:noHBand="0" w:noVBand="1" w:val="04A0"/>
      </w:tblPr>
      <w:tblGrid>
        <w:gridCol w:w="4703"/>
        <w:gridCol w:w="4703"/>
      </w:tblGrid>
      <w:tr>
        <w:tc>
          <w:tcPr>
            <w:tcW w:type="dxa" w:w="4703"/>
            <w:shd w:val="clear" w:color="auto" w:fill="D9D9D9"/>
          </w:tcPr>
          <w:p>
            <w:pPr>
              <w:jc w:val="center"/>
            </w:pPr>
            <w:r/>
            <w:r>
              <w:rPr>
                <w:rFonts w:ascii="Arial" w:hAnsi="Arial" w:cs="Arial"/>
                <w:b/>
                <w:sz w:val="22"/>
              </w:rPr>
              <w:t>Categoría</w:t>
            </w:r>
          </w:p>
        </w:tc>
        <w:tc>
          <w:tcPr>
            <w:tcW w:type="dxa" w:w="4703"/>
            <w:shd w:val="clear" w:color="auto" w:fill="D9D9D9"/>
          </w:tcPr>
          <w:p>
            <w:pPr>
              <w:jc w:val="center"/>
            </w:pPr>
            <w:r/>
            <w:r>
              <w:rPr>
                <w:rFonts w:ascii="Arial" w:hAnsi="Arial" w:cs="Arial"/>
                <w:b/>
                <w:sz w:val="22"/>
              </w:rPr>
              <w:t>Resultado negativo asociado a la medicación (RNM)</w:t>
            </w:r>
          </w:p>
        </w:tc>
      </w:tr>
      <w:tr>
        <w:tc>
          <w:tcPr>
            <w:tcW w:type="dxa" w:w="4703"/>
          </w:tcPr>
          <w:p>
            <w:r/>
            <w:r>
              <w:rPr>
                <w:rFonts w:ascii="Arial" w:hAnsi="Arial" w:cs="Arial"/>
                <w:b/>
                <w:sz w:val="22"/>
              </w:rPr>
              <w:t>Necesidad</w:t>
            </w:r>
          </w:p>
        </w:tc>
        <w:tc>
          <w:tcPr>
            <w:tcW w:type="dxa" w:w="4703"/>
          </w:tcPr>
          <w:p>
            <w:r/>
            <w:r>
              <w:rPr>
                <w:rFonts w:ascii="Arial" w:hAnsi="Arial" w:cs="Arial"/>
                <w:b w:val="0"/>
                <w:sz w:val="22"/>
              </w:rPr>
              <w:t>Problema de salud no tratado. El paciente sufre un problema de salud por no recibir la medicación que necesita.</w:t>
            </w:r>
          </w:p>
        </w:tc>
      </w:tr>
      <w:tr>
        <w:tc>
          <w:tcPr>
            <w:tcW w:type="dxa" w:w="4703"/>
          </w:tcPr>
          <w:p>
            <w:r/>
            <w:r>
              <w:rPr>
                <w:rFonts w:ascii="Arial" w:hAnsi="Arial" w:cs="Arial"/>
                <w:b/>
                <w:sz w:val="22"/>
              </w:rPr>
              <w:t>Necesidad</w:t>
            </w:r>
          </w:p>
        </w:tc>
        <w:tc>
          <w:tcPr>
            <w:tcW w:type="dxa" w:w="4703"/>
          </w:tcPr>
          <w:p>
            <w:r/>
            <w:r>
              <w:rPr>
                <w:rFonts w:ascii="Arial" w:hAnsi="Arial" w:cs="Arial"/>
                <w:b w:val="0"/>
                <w:sz w:val="22"/>
              </w:rPr>
              <w:t>Efecto de medicamento innecesario. El paciente sufre un problema de salud por recibir un medicamento que no necesita.</w:t>
            </w:r>
          </w:p>
        </w:tc>
      </w:tr>
      <w:tr>
        <w:tc>
          <w:tcPr>
            <w:tcW w:type="dxa" w:w="4703"/>
          </w:tcPr>
          <w:p>
            <w:r/>
            <w:r>
              <w:rPr>
                <w:rFonts w:ascii="Arial" w:hAnsi="Arial" w:cs="Arial"/>
                <w:b/>
                <w:sz w:val="22"/>
              </w:rPr>
              <w:t>Efectividad</w:t>
            </w:r>
          </w:p>
        </w:tc>
        <w:tc>
          <w:tcPr>
            <w:tcW w:type="dxa" w:w="4703"/>
          </w:tcPr>
          <w:p>
            <w:r/>
            <w:r>
              <w:rPr>
                <w:rFonts w:ascii="Arial" w:hAnsi="Arial" w:cs="Arial"/>
                <w:b w:val="0"/>
                <w:sz w:val="22"/>
              </w:rPr>
              <w:t>Inefectividad no cuantitativa. El paciente sufre un problema de salud por una inefectividad no cuantitativa de la medicación.</w:t>
            </w:r>
          </w:p>
        </w:tc>
      </w:tr>
      <w:tr>
        <w:tc>
          <w:tcPr>
            <w:tcW w:type="dxa" w:w="4703"/>
          </w:tcPr>
          <w:p>
            <w:r/>
            <w:r>
              <w:rPr>
                <w:rFonts w:ascii="Arial" w:hAnsi="Arial" w:cs="Arial"/>
                <w:b/>
                <w:sz w:val="22"/>
              </w:rPr>
              <w:t>Efectividad</w:t>
            </w:r>
          </w:p>
        </w:tc>
        <w:tc>
          <w:tcPr>
            <w:tcW w:type="dxa" w:w="4703"/>
          </w:tcPr>
          <w:p>
            <w:r/>
            <w:r>
              <w:rPr>
                <w:rFonts w:ascii="Arial" w:hAnsi="Arial" w:cs="Arial"/>
                <w:b w:val="0"/>
                <w:sz w:val="22"/>
              </w:rPr>
              <w:t>Inefectividad cuantitativa. El paciente sufre un problema de salud por una inefectividad cuantitativa de la medicación.</w:t>
            </w:r>
          </w:p>
        </w:tc>
      </w:tr>
      <w:tr>
        <w:tc>
          <w:tcPr>
            <w:tcW w:type="dxa" w:w="4703"/>
          </w:tcPr>
          <w:p>
            <w:r/>
            <w:r>
              <w:rPr>
                <w:rFonts w:ascii="Arial" w:hAnsi="Arial" w:cs="Arial"/>
                <w:b/>
                <w:sz w:val="22"/>
              </w:rPr>
              <w:t>Seguridad</w:t>
            </w:r>
          </w:p>
        </w:tc>
        <w:tc>
          <w:tcPr>
            <w:tcW w:type="dxa" w:w="4703"/>
          </w:tcPr>
          <w:p>
            <w:r/>
            <w:r>
              <w:rPr>
                <w:rFonts w:ascii="Arial" w:hAnsi="Arial" w:cs="Arial"/>
                <w:b w:val="0"/>
                <w:sz w:val="22"/>
              </w:rPr>
              <w:t>Inseguridad no cuantitativa. El paciente sufre un problema de salud por una inseguridad no cuantitativa de un medicamento.</w:t>
            </w:r>
          </w:p>
        </w:tc>
      </w:tr>
      <w:tr>
        <w:tc>
          <w:tcPr>
            <w:tcW w:type="dxa" w:w="4703"/>
          </w:tcPr>
          <w:p>
            <w:r/>
            <w:r>
              <w:rPr>
                <w:rFonts w:ascii="Arial" w:hAnsi="Arial" w:cs="Arial"/>
                <w:b/>
                <w:sz w:val="22"/>
              </w:rPr>
              <w:t>Seguridad</w:t>
            </w:r>
          </w:p>
        </w:tc>
        <w:tc>
          <w:tcPr>
            <w:tcW w:type="dxa" w:w="4703"/>
          </w:tcPr>
          <w:p>
            <w:r/>
            <w:r>
              <w:rPr>
                <w:rFonts w:ascii="Arial" w:hAnsi="Arial" w:cs="Arial"/>
                <w:b w:val="0"/>
                <w:sz w:val="22"/>
              </w:rPr>
              <w:t>Inseguridad cuantitativa. El paciente sufre un problema de salud por una inseguridad cuantitativa de un medicamento.</w:t>
            </w:r>
          </w:p>
        </w:tc>
      </w:tr>
    </w:tbl>
    <w:p>
      <w:r>
        <w:rPr>
          <w:rFonts w:ascii="Arial" w:hAnsi="Arial" w:cs="Arial"/>
          <w:b/>
          <w:sz w:val="24"/>
        </w:rPr>
        <w:t>Anexo 7. Medidas para la resolución de PRM</w:t>
      </w:r>
    </w:p>
    <w:p>
      <w:pPr>
        <w:jc w:val="both"/>
      </w:pPr>
      <w:r>
        <w:rPr>
          <w:rFonts w:ascii="Arial" w:hAnsi="Arial" w:cs="Arial"/>
          <w:b w:val="0"/>
          <w:sz w:val="24"/>
        </w:rPr>
        <w:t>Según el problema detectado, la intervención farmacéutica puede orientar alguna de las siguientes medidas, dejando siempre la sugerencia registrada en la ficha clínica para el médico que corresponda:</w:t>
      </w:r>
    </w:p>
    <w:p>
      <w:pPr>
        <w:pStyle w:val="ListBullet"/>
        <w:jc w:val="both"/>
      </w:pPr>
      <w:r>
        <w:rPr>
          <w:rFonts w:ascii="Arial" w:hAnsi="Arial" w:cs="Arial"/>
          <w:b w:val="0"/>
          <w:sz w:val="24"/>
        </w:rPr>
        <w:t>Ajustar la dosis (aumentarla o reducirla).</w:t>
      </w:r>
    </w:p>
    <w:p>
      <w:pPr>
        <w:pStyle w:val="ListBullet"/>
        <w:jc w:val="both"/>
      </w:pPr>
      <w:r>
        <w:rPr>
          <w:rFonts w:ascii="Arial" w:hAnsi="Arial" w:cs="Arial"/>
          <w:b w:val="0"/>
          <w:sz w:val="24"/>
        </w:rPr>
        <w:t>Modificar el horario de administración.</w:t>
      </w:r>
    </w:p>
    <w:p>
      <w:pPr>
        <w:pStyle w:val="ListBullet"/>
        <w:jc w:val="both"/>
      </w:pPr>
      <w:r>
        <w:rPr>
          <w:rFonts w:ascii="Arial" w:hAnsi="Arial" w:cs="Arial"/>
          <w:b w:val="0"/>
          <w:sz w:val="24"/>
        </w:rPr>
        <w:t>Iniciar o suspender un tratamiento.</w:t>
      </w:r>
    </w:p>
    <w:p>
      <w:pPr>
        <w:pStyle w:val="ListBullet"/>
        <w:jc w:val="both"/>
      </w:pPr>
      <w:r>
        <w:rPr>
          <w:rFonts w:ascii="Arial" w:hAnsi="Arial" w:cs="Arial"/>
          <w:b w:val="0"/>
          <w:sz w:val="24"/>
        </w:rPr>
        <w:t>Cambiar por una alternativa terapéutica.</w:t>
      </w:r>
    </w:p>
    <w:p>
      <w:pPr>
        <w:pStyle w:val="ListBullet"/>
        <w:jc w:val="both"/>
      </w:pPr>
      <w:r>
        <w:rPr>
          <w:rFonts w:ascii="Arial" w:hAnsi="Arial" w:cs="Arial"/>
          <w:b w:val="0"/>
          <w:sz w:val="24"/>
        </w:rPr>
        <w:t>Realizar educación al paciente, la familia o el cuidador.</w:t>
      </w:r>
    </w:p>
    <w:p>
      <w:r>
        <w:rPr>
          <w:rFonts w:ascii="Arial" w:hAnsi="Arial" w:cs="Arial"/>
          <w:b/>
          <w:sz w:val="24"/>
        </w:rPr>
        <w:t>10.- HISTORIAL DE REVISIONES: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D9D9"/>
          </w:tcPr>
          <w:p>
            <w:pPr>
              <w:jc w:val="center"/>
            </w:pPr>
            <w:r/>
            <w:r>
              <w:rPr>
                <w:rFonts w:ascii="Arial" w:hAnsi="Arial" w:cs="Arial"/>
                <w:b/>
                <w:sz w:val="22"/>
              </w:rPr>
              <w:t>FECHA</w:t>
            </w:r>
          </w:p>
        </w:tc>
        <w:tc>
          <w:tcPr>
            <w:tcW w:type="dxa" w:w="3135"/>
            <w:shd w:val="clear" w:color="auto" w:fill="D9D9D9"/>
          </w:tcPr>
          <w:p>
            <w:pPr>
              <w:jc w:val="center"/>
            </w:pPr>
            <w:r/>
            <w:r>
              <w:rPr>
                <w:rFonts w:ascii="Arial" w:hAnsi="Arial" w:cs="Arial"/>
                <w:b/>
                <w:sz w:val="22"/>
              </w:rPr>
              <w:t>EDICIÓN</w:t>
            </w:r>
          </w:p>
        </w:tc>
        <w:tc>
          <w:tcPr>
            <w:tcW w:type="dxa" w:w="3135"/>
            <w:shd w:val="clear" w:color="auto" w:fill="D9D9D9"/>
          </w:tcPr>
          <w:p>
            <w:pPr>
              <w:jc w:val="center"/>
            </w:pPr>
            <w:r/>
            <w:r>
              <w:rPr>
                <w:rFonts w:ascii="Arial" w:hAnsi="Arial" w:cs="Arial"/>
                <w:b/>
                <w:sz w:val="22"/>
              </w:rPr>
              <w:t>DESCRIPCIÓN DE LA MODIFICACIÓN</w:t>
            </w:r>
          </w:p>
        </w:tc>
      </w:tr>
      <w:tr>
        <w:tc>
          <w:tcPr>
            <w:tcW w:type="dxa" w:w="3135"/>
          </w:tcPr>
          <w:p>
            <w:pPr>
              <w:jc w:val="center"/>
            </w:pPr>
            <w:r/>
            <w:r>
              <w:rPr>
                <w:rFonts w:ascii="Arial" w:hAnsi="Arial" w:cs="Arial"/>
                <w:b w:val="0"/>
                <w:sz w:val="22"/>
              </w:rPr>
              <w:t>Julio 2026</w:t>
            </w:r>
          </w:p>
        </w:tc>
        <w:tc>
          <w:tcPr>
            <w:tcW w:type="dxa" w:w="3135"/>
          </w:tcPr>
          <w:p>
            <w:pPr>
              <w:jc w:val="center"/>
            </w:pPr>
            <w:r/>
            <w:r>
              <w:rPr>
                <w:rFonts w:ascii="Arial" w:hAnsi="Arial" w:cs="Arial"/>
                <w:b w:val="0"/>
                <w:sz w:val="22"/>
              </w:rPr>
              <w:t>01</w:t>
            </w:r>
          </w:p>
        </w:tc>
        <w:tc>
          <w:tcPr>
            <w:tcW w:type="dxa" w:w="3135"/>
          </w:tcPr>
          <w:p>
            <w:r/>
            <w:r>
              <w:rPr>
                <w:rFonts w:ascii="Arial" w:hAnsi="Arial" w:cs="Arial"/>
                <w:b w:val="0"/>
                <w:sz w:val="22"/>
              </w:rPr>
              <w:t>Elaboración inicial del protocolo.</w:t>
            </w:r>
          </w:p>
        </w:tc>
      </w:tr>
    </w:tbl>
    <w:sectPr w:rsidR="00FC693F" w:rsidRPr="0006063C" w:rsidSect="00034616">
      <w:headerReference w:type="default" r:id="rId9"/>
      <w:footerReference w:type="default" r:id="rId10"/>
      <w:footerReference w:type="first" r:id="rId11"/>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cs="Arial"/>
        <w:b w:val="0"/>
        <w:sz w:val="20"/>
      </w:rPr>
      <w:fldChar w:fldCharType="begin"/>
      <w:instrText xml:space="preserve"> PAGE </w:instrText>
      <w:fldChar w:fldCharType="end"/>
    </w:r>
  </w:p>
  <w:p>
    <w:pPr>
      <w:jc w:val="center"/>
    </w:pPr>
    <w:r>
      <w:rPr>
        <w:rFonts w:ascii="Arial" w:hAnsi="Arial" w:cs="Arial"/>
        <w:b w:val="0"/>
        <w:sz w:val="16"/>
      </w:rPr>
      <w:t>Este documento es de uso exclusivo Centro de Salud Familiar Villa Nonguén</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cs="Arial"/>
        <w:b w:val="0"/>
        <w:sz w:val="16"/>
      </w:rPr>
      <w:t>Este documento es de uso exclusivo Centro de Salud Familiar Villa Nonguén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eGrid"/>
      <w:tblW w:type="auto" w:w="0"/>
      <w:tblLayout w:type="fixed"/>
      <w:tblLook w:firstColumn="1" w:firstRow="1" w:lastColumn="0" w:lastRow="0" w:noHBand="0" w:noVBand="1" w:val="04A0"/>
    </w:tblPr>
    <w:tblGrid>
      <w:gridCol w:w="3118"/>
      <w:gridCol w:w="5953"/>
    </w:tblGrid>
    <w:tr>
      <w:tc>
        <w:tcPr>
          <w:tcW w:type="dxa" w:w="4535"/>
        </w:tcPr>
        <w:p>
          <w:pPr>
            <w:jc w:val="center"/>
          </w:pPr>
          <w:r/>
          <w:r>
            <w:drawing>
              <wp:inline xmlns:a="http://schemas.openxmlformats.org/drawingml/2006/main" xmlns:pic="http://schemas.openxmlformats.org/drawingml/2006/picture">
                <wp:extent cx="720000" cy="332308"/>
                <wp:docPr id="1" name="Picture 1"/>
                <wp:cNvGraphicFramePr>
                  <a:graphicFrameLocks noChangeAspect="1"/>
                </wp:cNvGraphicFramePr>
                <a:graphic>
                  <a:graphicData uri="http://schemas.openxmlformats.org/drawingml/2006/picture">
                    <pic:pic>
                      <pic:nvPicPr>
                        <pic:cNvPr id="0" name="logo_cesfam_chico.png"/>
                        <pic:cNvPicPr/>
                      </pic:nvPicPr>
                      <pic:blipFill>
                        <a:blip r:embed="rId1"/>
                        <a:stretch>
                          <a:fillRect/>
                        </a:stretch>
                      </pic:blipFill>
                      <pic:spPr>
                        <a:xfrm>
                          <a:off x="0" y="0"/>
                          <a:ext cx="720000" cy="332308"/>
                        </a:xfrm>
                        <a:prstGeom prst="rect"/>
                      </pic:spPr>
                    </pic:pic>
                  </a:graphicData>
                </a:graphic>
              </wp:inline>
            </w:drawing>
          </w:r>
        </w:p>
        <w:p>
          <w:pPr>
            <w:jc w:val="center"/>
          </w:pPr>
          <w:r>
            <w:rPr>
              <w:rFonts w:ascii="Arial" w:hAnsi="Arial" w:cs="Arial"/>
              <w:b/>
              <w:sz w:val="18"/>
            </w:rPr>
            <w:t>Centro de Salud Familiar Villa Nonguén</w:t>
          </w:r>
        </w:p>
      </w:tc>
      <w:tc>
        <w:tcPr>
          <w:tcW w:type="dxa" w:w="4535"/>
        </w:tcPr>
        <w:p>
          <w:r/>
          <w:r>
            <w:rPr>
              <w:rFonts w:ascii="Arial" w:hAnsi="Arial" w:cs="Arial"/>
              <w:b w:val="0"/>
              <w:sz w:val="20"/>
            </w:rPr>
            <w:t xml:space="preserve">Código: </w:t>
          </w:r>
          <w:r>
            <w:rPr>
              <w:rFonts w:ascii="Arial" w:hAnsi="Arial" w:cs="Arial"/>
              <w:b w:val="0"/>
              <w:sz w:val="20"/>
            </w:rPr>
            <w:t>APF 1.5.1</w:t>
          </w:r>
        </w:p>
        <w:p>
          <w:r>
            <w:rPr>
              <w:rFonts w:ascii="Arial" w:hAnsi="Arial" w:cs="Arial"/>
              <w:b w:val="0"/>
              <w:sz w:val="20"/>
            </w:rPr>
            <w:t xml:space="preserve">Edición: </w:t>
          </w:r>
          <w:r>
            <w:rPr>
              <w:rFonts w:ascii="Arial" w:hAnsi="Arial" w:cs="Arial"/>
              <w:b w:val="0"/>
              <w:sz w:val="20"/>
            </w:rPr>
            <w:t>01</w:t>
          </w:r>
        </w:p>
        <w:p>
          <w:r>
            <w:rPr>
              <w:rFonts w:ascii="Arial" w:hAnsi="Arial" w:cs="Arial"/>
              <w:b w:val="0"/>
              <w:sz w:val="20"/>
            </w:rPr>
            <w:t xml:space="preserve">Fecha Elab: </w:t>
          </w:r>
          <w:r>
            <w:rPr>
              <w:rFonts w:ascii="Arial" w:hAnsi="Arial" w:cs="Arial"/>
              <w:b w:val="0"/>
              <w:sz w:val="20"/>
            </w:rPr>
            <w:t>Julio 2026</w:t>
          </w:r>
        </w:p>
        <w:p>
          <w:r>
            <w:rPr>
              <w:rFonts w:ascii="Arial" w:hAnsi="Arial" w:cs="Arial"/>
              <w:b w:val="0"/>
              <w:sz w:val="20"/>
            </w:rPr>
            <w:t xml:space="preserve">Página </w:t>
          </w:r>
          <w:r>
            <w:rPr>
              <w:rFonts w:ascii="Arial" w:hAnsi="Arial" w:cs="Arial"/>
              <w:b w:val="0"/>
              <w:sz w:val="20"/>
            </w:rPr>
            <w:fldChar w:fldCharType="begin"/>
            <w:instrText xml:space="preserve"> PAGE </w:instrText>
            <w:fldChar w:fldCharType="end"/>
          </w:r>
          <w:r>
            <w:rPr>
              <w:rFonts w:ascii="Arial" w:hAnsi="Arial" w:cs="Arial"/>
              <w:b w:val="0"/>
              <w:sz w:val="20"/>
            </w:rPr>
            <w:t xml:space="preserve"> de </w:t>
          </w:r>
          <w:r>
            <w:rPr>
              <w:rFonts w:ascii="Arial" w:hAnsi="Arial" w:cs="Arial"/>
              <w:b w:val="0"/>
              <w:sz w:val="20"/>
            </w:rPr>
            <w:fldChar w:fldCharType="begin"/>
            <w:instrText xml:space="preserve"> NUMPAGES </w:instrText>
            <w:fldChar w:fldCharType="end"/>
          </w:r>
        </w:p>
        <w:p>
          <w:r>
            <w:rPr>
              <w:rFonts w:ascii="Arial" w:hAnsi="Arial" w:cs="Arial"/>
              <w:b w:val="0"/>
              <w:sz w:val="20"/>
            </w:rPr>
            <w:t xml:space="preserve">Vigencia: </w:t>
          </w:r>
          <w:r>
            <w:rPr>
              <w:rFonts w:ascii="Arial" w:hAnsi="Arial" w:cs="Arial"/>
              <w:b w:val="0"/>
              <w:sz w:val="20"/>
            </w:rPr>
            <w:t>Julio 2031</w:t>
          </w:r>
        </w:p>
      </w:tc>
    </w:tr>
  </w:tbl>
  <w:p>
    <w:pPr>
      <w:jc w:val="center"/>
    </w:pPr>
    <w:r>
      <w:rPr>
        <w:rFonts w:ascii="Arial" w:hAnsi="Arial" w:cs="Arial"/>
        <w:b/>
        <w:sz w:val="20"/>
      </w:rPr>
      <w:t>PROTOCOLO DE ATENCIÓN FARMACÉUTICA DOMICILIARIA EN EL PROGRAMA DE SALUD CARDIOVASCULAR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 de Atención Farmacéutica domiciliaria - CESFAM Villa Nonguén</dc:title>
  <dc:subject/>
  <dc:creator>Bastián Alonso Espinoza Palma</dc:creator>
  <cp:keywords/>
  <dc:description>generated by python-docx</dc:description>
  <cp:lastModifiedBy>Bastián Alonso Espinoza Palma</cp:lastModifiedBy>
  <cp:revision>1</cp:revision>
  <dcterms:created xsi:type="dcterms:W3CDTF">2013-12-23T23:15:00Z</dcterms:created>
  <dcterms:modified xsi:type="dcterms:W3CDTF">2013-12-23T23:15:00Z</dcterms:modified>
  <cp:category/>
</cp:coreProperties>
</file>