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S. Singh, M.K. Sharma, S. Singh.</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Deep Learning for Plant Disease Detection in Potato Crops.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IEEE Access.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9.</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87251 – 87265 (2021).</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0" w:firstLine="0"/>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z0iuec3i4hh6"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sitúan el estado del arte en la importancia económica crítica del cultivo de la patata (</w:t>
      </w:r>
      <w:r w:rsidDel="00000000" w:rsidR="00000000" w:rsidRPr="00000000">
        <w:rPr>
          <w:rFonts w:ascii="Arial" w:cs="Arial" w:eastAsia="Arial" w:hAnsi="Arial"/>
          <w:i w:val="1"/>
          <w:iCs w:val="1"/>
          <w:color w:val="1f1f1f"/>
          <w:rtl w:val="0"/>
        </w:rPr>
        <w:t xml:space="preserve">Solanum tuberosum</w:t>
      </w:r>
      <w:r w:rsidDel="00000000" w:rsidR="00000000" w:rsidRPr="00000000">
        <w:rPr>
          <w:rFonts w:ascii="Arial" w:cs="Arial" w:eastAsia="Arial" w:hAnsi="Arial"/>
          <w:color w:val="1f1f1f"/>
          <w:rtl w:val="0"/>
        </w:rPr>
        <w:t xml:space="preserve">) a nivel mundial. El estado del arte documenta que, si bien las enfermedades fúngicas y bacterianas (como el tizón tardío) representan una amenaza constante para la seguridad alimentaria, las técnicas actuales de diagnóstico suelen ser lentas o dependen de la inspección visual experta, que es propensa a errores humanos. La literatura técnica revisada muestra una transición de métodos manuales a sistemas de visión artificial, destacando la necesidad de optimizar las CNN para entornos agrícolas específicos, donde la variabilidad en el color y la textura de las hojas es alta.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ym168z1ogaoc"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de los investigadores nace de una crítica a la falta de especificidad en los modelos de detección generalistas. Argumentan que muchos modelos de </w:t>
      </w:r>
      <w:r w:rsidDel="00000000" w:rsidR="00000000" w:rsidRPr="00000000">
        <w:rPr>
          <w:rFonts w:ascii="Arial" w:cs="Arial" w:eastAsia="Arial" w:hAnsi="Arial"/>
          <w:i w:val="1"/>
          <w:iCs w:val="1"/>
          <w:color w:val="1f1f1f"/>
          <w:rtl w:val="0"/>
        </w:rPr>
        <w:t xml:space="preserve">Deep Learning</w:t>
      </w:r>
      <w:r w:rsidDel="00000000" w:rsidR="00000000" w:rsidRPr="00000000">
        <w:rPr>
          <w:rFonts w:ascii="Arial" w:cs="Arial" w:eastAsia="Arial" w:hAnsi="Arial"/>
          <w:color w:val="1f1f1f"/>
          <w:rtl w:val="0"/>
        </w:rPr>
        <w:t xml:space="preserve"> reportados en la literatura son demasiado genéricos y no están optimizados para las particularidades morfológicas de la hoja de patata. Critican que la mayoría de los estudios no consideran adecuadamente el problema del sobreajuste cuando se trabaja con datasets de enfermedades de la patata, que a menudo son desequilibrados, motivándose a diseñar una solución que sea tanto precisa como escalable para agricultores que requieren diagnósticos rápidos en campo.</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7brdf6p8rliw"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es el diseño y validación de una arquitectura de red profunda optimizada específicamente para el cultivo de patata:</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Arquitectura específica:</w:t>
      </w:r>
      <w:r w:rsidDel="00000000" w:rsidR="00000000" w:rsidRPr="00000000">
        <w:rPr>
          <w:rFonts w:ascii="Arial" w:cs="Arial" w:eastAsia="Arial" w:hAnsi="Arial"/>
          <w:color w:val="1f1f1f"/>
          <w:rtl w:val="0"/>
        </w:rPr>
        <w:t xml:space="preserve"> Proponen un modelo adaptado que mejora la capacidad de extracción de características en hojas con patrones de enfermedad similares pero etiologías distintas.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Dataset especializado:</w:t>
      </w:r>
      <w:r w:rsidDel="00000000" w:rsidR="00000000" w:rsidRPr="00000000">
        <w:rPr>
          <w:rFonts w:ascii="Arial" w:cs="Arial" w:eastAsia="Arial" w:hAnsi="Arial"/>
          <w:color w:val="1f1f1f"/>
          <w:rtl w:val="0"/>
        </w:rPr>
        <w:t xml:space="preserve"> Contribuyen con un conjunto de datos curado y preprocesado enfocado en las enfermedades más devastadoras de la patata.</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Evaluación de robustez:</w:t>
      </w:r>
      <w:r w:rsidDel="00000000" w:rsidR="00000000" w:rsidRPr="00000000">
        <w:rPr>
          <w:rFonts w:ascii="Arial" w:cs="Arial" w:eastAsia="Arial" w:hAnsi="Arial"/>
          <w:color w:val="1f1f1f"/>
          <w:rtl w:val="0"/>
        </w:rPr>
        <w:t xml:space="preserve"> Aportan evidencia sobre el rendimiento del modelo frente a diferentes condiciones ambientales, demostrando que el uso de técnicas de aumento de datos (</w:t>
      </w:r>
      <w:r w:rsidDel="00000000" w:rsidR="00000000" w:rsidRPr="00000000">
        <w:rPr>
          <w:rFonts w:ascii="Arial" w:cs="Arial" w:eastAsia="Arial" w:hAnsi="Arial"/>
          <w:i w:val="1"/>
          <w:iCs w:val="1"/>
          <w:color w:val="1f1f1f"/>
          <w:rtl w:val="0"/>
        </w:rPr>
        <w:t xml:space="preserve">data augmentation</w:t>
      </w:r>
      <w:r w:rsidDel="00000000" w:rsidR="00000000" w:rsidRPr="00000000">
        <w:rPr>
          <w:rFonts w:ascii="Arial" w:cs="Arial" w:eastAsia="Arial" w:hAnsi="Arial"/>
          <w:color w:val="1f1f1f"/>
          <w:rtl w:val="0"/>
        </w:rPr>
        <w:t xml:space="preserve">) es fundamental para mejorar la generalización del modelo ante variaciones de iluminación.</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fjlxmttnbpda"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llevaron a cabo un proceso experimental riguroso:</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Captura y etiquetado:</w:t>
      </w:r>
      <w:r w:rsidDel="00000000" w:rsidR="00000000" w:rsidRPr="00000000">
        <w:rPr>
          <w:rFonts w:ascii="Arial" w:cs="Arial" w:eastAsia="Arial" w:hAnsi="Arial"/>
          <w:color w:val="1f1f1f"/>
          <w:rtl w:val="0"/>
        </w:rPr>
        <w:t xml:space="preserve"> Recopilaron imágenes de cultivos de patata bajo condiciones reales y controladas.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Optimización:</w:t>
      </w:r>
      <w:r w:rsidDel="00000000" w:rsidR="00000000" w:rsidRPr="00000000">
        <w:rPr>
          <w:rFonts w:ascii="Arial" w:cs="Arial" w:eastAsia="Arial" w:hAnsi="Arial"/>
          <w:color w:val="1f1f1f"/>
          <w:rtl w:val="0"/>
        </w:rPr>
        <w:t xml:space="preserve"> Implementaron un pipeline de entrenamiento que incluía técnicas de regularización para evitar el sobreajuste.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Experimentación:</w:t>
      </w:r>
      <w:r w:rsidDel="00000000" w:rsidR="00000000" w:rsidRPr="00000000">
        <w:rPr>
          <w:rFonts w:ascii="Arial" w:cs="Arial" w:eastAsia="Arial" w:hAnsi="Arial"/>
          <w:color w:val="1f1f1f"/>
          <w:rtl w:val="0"/>
        </w:rPr>
        <w:t xml:space="preserve"> Realizaron pruebas exhaustivas comparando su modelo propuesto con otras arquitecturas estándar de CNN, ajustando los hiperparámetros para maximizar la sensibilidad hacia las lesiones tempranas.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gfv3w82urqog"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resolución se basó en el ajuste fino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de redes profundas pre-entrenadas, integrando una capa de normalización avanzada que permite al modelo centrarse en las características de la lesión en lugar de en el fondo, resolviendo así el problema de la variabilidad del ruido de fondo en imágenes de campo.</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phh791qwzoz6"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El autor utiliza </w:t>
      </w:r>
      <w:r w:rsidDel="00000000" w:rsidR="00000000" w:rsidRPr="00000000">
        <w:rPr>
          <w:rFonts w:ascii="Arial" w:cs="Arial" w:eastAsia="Arial" w:hAnsi="Arial"/>
          <w:b w:val="1"/>
          <w:bCs w:val="1"/>
          <w:color w:val="1f1f1f"/>
          <w:rtl w:val="0"/>
        </w:rPr>
        <w:t xml:space="preserve">Precisión (Accuracy)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Precisión (Precision)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Recall</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F1-Score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El modelo alcanzó una precisión de clasificación superior al </w:t>
      </w:r>
      <w:r w:rsidDel="00000000" w:rsidR="00000000" w:rsidRPr="00000000">
        <w:rPr>
          <w:rFonts w:ascii="Arial" w:cs="Arial" w:eastAsia="Arial" w:hAnsi="Arial"/>
          <w:b w:val="1"/>
          <w:bCs w:val="1"/>
          <w:color w:val="1f1f1f"/>
          <w:rtl w:val="0"/>
        </w:rPr>
        <w:t xml:space="preserve">98%</w:t>
      </w:r>
      <w:r w:rsidDel="00000000" w:rsidR="00000000" w:rsidRPr="00000000">
        <w:rPr>
          <w:rFonts w:ascii="Arial" w:cs="Arial" w:eastAsia="Arial" w:hAnsi="Arial"/>
          <w:color w:val="1f1f1f"/>
          <w:rtl w:val="0"/>
        </w:rPr>
        <w:t xml:space="preserve">, logrando un alto rendimiento en la distinción entre hojas sanas y enfermas, incluso en etapas tempranas de la enfermedad.</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Este resultado es muy significativo, ya que demuestra que la especialización del modelo para un cultivo particular (patata) produce mejores resultados que el uso de modelos "talla única" entrenados con datasets genéricos de múltiples cultivos.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x67yz3fr931b"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 un trabajo excelente en su aplicación práctica y específica para el cultivo de la patata. Mi observación crítica es que el modelo, al ser tan especializado, podría requerir un re-entrenamiento significativo si se desea aplicar a otros cultivos. Además, aunque mencionan la importancia de los entornos reales, el uso de un dataset equilibrado en laboratorio podría no reflejar completamente la dificultad de encontrar enfermedades en las primeras etapas de brote en un campo de cultivo masivo donde la mayoría de las plantas aún están sanas.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¿Deseas que continuemos con el </w:t>
      </w:r>
      <w:r w:rsidDel="00000000" w:rsidR="00000000" w:rsidRPr="00000000">
        <w:rPr>
          <w:rFonts w:ascii="Arial" w:cs="Arial" w:eastAsia="Arial" w:hAnsi="Arial"/>
          <w:b w:val="1"/>
          <w:bCs w:val="1"/>
          <w:color w:val="1f1f1f"/>
          <w:rtl w:val="0"/>
        </w:rPr>
        <w:t xml:space="preserve">Artículo 11</w:t>
      </w:r>
      <w:r w:rsidDel="00000000" w:rsidR="00000000" w:rsidRPr="00000000">
        <w:rPr>
          <w:rFonts w:ascii="Arial" w:cs="Arial" w:eastAsia="Arial" w:hAnsi="Arial"/>
          <w:color w:val="1f1f1f"/>
          <w:rtl w:val="0"/>
        </w:rPr>
        <w:t xml:space="preserve"> (Kumar et al., 2022) o prefieres gestionar otra parte de tu tesis?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FzkuMXplc3NC6cQhl6cwnuO2A==">CgMxLjAyDmguejBpdWVjM2k0aGg2Mg5oLnltMTY4ejFvZ2FvYzIOaC43YnJkZjZwOHJsaXcyDmguZmpseG10dG5icGRhMg5oLmdmdjN3ODJ1cnFvZzIOaC5waGg3OTFxd3pvejYyDmgueDY3eXozZnI5MzFiOAByITFYMjAwSHNycVlRZm5NMFM0Znd4WEJBdU5RQmFaTHc5Wg==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