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color="auto" w:space="0" w:sz="0" w:val="none"/>
          <w:left w:color="auto" w:space="0" w:sz="0" w:val="none"/>
          <w:bottom w:color="auto" w:space="0" w:sz="0" w:val="none"/>
          <w:right w:color="auto" w:space="0" w:sz="0" w:val="none"/>
          <w:between w:color="auto" w:space="0" w:sz="0" w:val="none"/>
        </w:pBdr>
        <w:spacing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Plantilla del Estado del Arte</w:t>
      </w:r>
    </w:p>
    <w:p w:rsidR="00000000" w:rsidDel="00000000" w:rsidP="00000000" w:rsidRDefault="00000000" w:rsidRPr="00000000" w14:paraId="00000002">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Howard, A. G., Zhu, M., Chen, B., Kalenichenko, D., Wang, W., Weyand, T., Andreetto, M., y Adam, H.</w:t>
      </w:r>
    </w:p>
    <w:p w:rsidR="00000000" w:rsidDel="00000000" w:rsidP="00000000" w:rsidRDefault="00000000" w:rsidRPr="00000000" w14:paraId="00000003">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MobileNets: Efficient Convolutional Neural Networks for Mobile Vision Applications.</w:t>
      </w:r>
    </w:p>
    <w:p w:rsidR="00000000" w:rsidDel="00000000" w:rsidP="00000000" w:rsidRDefault="00000000" w:rsidRPr="00000000" w14:paraId="00000004">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arXiv preprint arXiv:1704.04861.</w:t>
      </w:r>
    </w:p>
    <w:p w:rsidR="00000000" w:rsidDel="00000000" w:rsidP="00000000" w:rsidRDefault="00000000" w:rsidRPr="00000000" w14:paraId="00000005">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N/A</w:t>
      </w:r>
    </w:p>
    <w:p w:rsidR="00000000" w:rsidDel="00000000" w:rsidP="00000000" w:rsidRDefault="00000000" w:rsidRPr="00000000" w14:paraId="00000006">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1 – 9 (2017).</w:t>
      </w:r>
    </w:p>
    <w:p w:rsidR="00000000" w:rsidDel="00000000" w:rsidP="00000000" w:rsidRDefault="00000000" w:rsidRPr="00000000" w14:paraId="00000007">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Estado del arte que hace el autor</w:t>
      </w:r>
    </w:p>
    <w:p w:rsidR="00000000" w:rsidDel="00000000" w:rsidP="00000000" w:rsidRDefault="00000000" w:rsidRPr="00000000" w14:paraId="00000009">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estado del arte del Deep Learning en 2017 estaba marcado por una carrera hacia la precisión absoluta, priorizando arquitecturas que exigían inmensos recursos computacionales, memoria y potencia de procesamiento. Los autores sitúan su investigación en este contexto de exclusividad tecnológica, destacando que los modelos contemporáneos de visión computacional, aunque extremadamente potentes, eran inviables para su ejecución en entornos con recursos limitados. Históricamente, las Redes Neuronales Convolucionales (CNN) dependían de capas de convolución estándar que multiplicaban el coste computacional por el número de canales de entrada, lo cual limitaba drásticamente la latencia y el rendimiento en dispositivos móviles, plataformas web ligeras o sistemas embebidos en el campo.</w:t>
      </w:r>
    </w:p>
    <w:p w:rsidR="00000000" w:rsidDel="00000000" w:rsidP="00000000" w:rsidRDefault="00000000" w:rsidRPr="00000000" w14:paraId="0000000A">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Sin embargo, el núcleo teórico que da pie a este estudio es la necesidad de cerrar la brecha entre la capacidad de diagnóstico de la inteligencia artificial y la realidad operativa de los dispositivos de usuario final. Los autores identifican que la inmensa mayoría de la literatura se había enfocado en benchmarks de servidores (como servidores con múltiples GPUs), ignorando que la aplicación práctica de estas tecnologías en sectores críticos —como el diagnóstico agrícola en campo— requiere modelos que operen en tiempo real con una huella de memoria reducida. Por lo tanto, los autores posicionan su estudio en la vanguardia de las arquitecturas ligeras, buscando sistematizar un campo emergente que debe, urgentemente, equilibrar la precisión diagnóstica con la eficiencia extrema del hardware.</w:t>
      </w:r>
    </w:p>
    <w:p w:rsidR="00000000" w:rsidDel="00000000" w:rsidP="00000000" w:rsidRDefault="00000000" w:rsidRPr="00000000" w14:paraId="0000000B">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Motivación del autor (críticas del autor a otros trabajos)</w:t>
      </w:r>
    </w:p>
    <w:p w:rsidR="00000000" w:rsidDel="00000000" w:rsidP="00000000" w:rsidRDefault="00000000" w:rsidRPr="00000000" w14:paraId="0000000C">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motivación fundamental que impulsa esta investigación radica en la crítica directa hacia los modelos de alta complejidad que dominaban la literatura técnica. Los autores argumentan que, aunque arquitecturas como VGG16 o ResNet lograban un rendimiento sobresaliente, su despliegue en aplicaciones móviles reales era ineficiente debido a su elevado número de parámetros y latencia de inferencia. Los autores formulan una crítica contundente a la tendencia de sacrificar la velocidad por un margen marginal de exactitud que, en muchos escenarios del mundo real, no justifica el costo computacional.</w:t>
      </w:r>
    </w:p>
    <w:p w:rsidR="00000000" w:rsidDel="00000000" w:rsidP="00000000" w:rsidRDefault="00000000" w:rsidRPr="00000000" w14:paraId="0000000D">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Asimismo, los autores critican abiertamente que las revisiones de literatura previas no consideraran la viabilidad de despliegue en entornos donde la conectividad es inestable y el hardware es modesto. Justifican su trabajo en la urgencia de proporcionar a la comunidad científica una arquitectura base que permita transitar hacia algoritmos que "rindan cuentas" en términos de consumo de recursos, garantizando que el diagnóstico por IA pueda ser accesible fuera de laboratorios dotados con supercomputadoras.</w:t>
      </w:r>
    </w:p>
    <w:p w:rsidR="00000000" w:rsidDel="00000000" w:rsidP="00000000" w:rsidRDefault="00000000" w:rsidRPr="00000000" w14:paraId="0000000E">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 del aporte del autor</w:t>
      </w:r>
    </w:p>
    <w:p w:rsidR="00000000" w:rsidDel="00000000" w:rsidP="00000000" w:rsidRDefault="00000000" w:rsidRPr="00000000" w14:paraId="0000000F">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central y de mayor trascendencia de este artículo no es el incremento de la exactitud, sino la introducción de la arquitectura </w:t>
      </w:r>
      <w:r w:rsidDel="00000000" w:rsidR="00000000" w:rsidRPr="00000000">
        <w:rPr>
          <w:rFonts w:ascii="Arial" w:cs="Arial" w:eastAsia="Arial" w:hAnsi="Arial"/>
          <w:b w:val="1"/>
          <w:bCs w:val="1"/>
          <w:color w:val="1f1f1f"/>
          <w:rtl w:val="0"/>
        </w:rPr>
        <w:t xml:space="preserve">MobileNet</w:t>
      </w:r>
      <w:r w:rsidDel="00000000" w:rsidR="00000000" w:rsidRPr="00000000">
        <w:rPr>
          <w:rFonts w:ascii="Arial" w:cs="Arial" w:eastAsia="Arial" w:hAnsi="Arial"/>
          <w:color w:val="1f1f1f"/>
          <w:rtl w:val="0"/>
        </w:rPr>
        <w:t xml:space="preserve"> basada en las </w:t>
      </w:r>
      <w:r w:rsidDel="00000000" w:rsidR="00000000" w:rsidRPr="00000000">
        <w:rPr>
          <w:rFonts w:ascii="Arial" w:cs="Arial" w:eastAsia="Arial" w:hAnsi="Arial"/>
          <w:b w:val="1"/>
          <w:bCs w:val="1"/>
          <w:color w:val="1f1f1f"/>
          <w:rtl w:val="0"/>
        </w:rPr>
        <w:t xml:space="preserve">convoluciones separables en profundidad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depthwise separable convolutions</w:t>
      </w:r>
      <w:r w:rsidDel="00000000" w:rsidR="00000000" w:rsidRPr="00000000">
        <w:rPr>
          <w:rFonts w:ascii="Arial" w:cs="Arial" w:eastAsia="Arial" w:hAnsi="Arial"/>
          <w:color w:val="1f1f1f"/>
          <w:rtl w:val="0"/>
        </w:rPr>
        <w:t xml:space="preserve">). El problema principal que atacan es la ineficiencia de la convolución estándar. El aporte fundamental de los autores es un diseño teórico integral que desglosa la operación de convolución en dos pasos: una convolución en profundidad (</w:t>
      </w:r>
      <w:r w:rsidDel="00000000" w:rsidR="00000000" w:rsidRPr="00000000">
        <w:rPr>
          <w:rFonts w:ascii="Arial" w:cs="Arial" w:eastAsia="Arial" w:hAnsi="Arial"/>
          <w:i w:val="1"/>
          <w:iCs w:val="1"/>
          <w:color w:val="1f1f1f"/>
          <w:rtl w:val="0"/>
        </w:rPr>
        <w:t xml:space="preserve">depthwise</w:t>
      </w:r>
      <w:r w:rsidDel="00000000" w:rsidR="00000000" w:rsidRPr="00000000">
        <w:rPr>
          <w:rFonts w:ascii="Arial" w:cs="Arial" w:eastAsia="Arial" w:hAnsi="Arial"/>
          <w:color w:val="1f1f1f"/>
          <w:rtl w:val="0"/>
        </w:rPr>
        <w:t xml:space="preserve">) que filtra la entrada, y una convolución puntual (</w:t>
      </w:r>
      <w:r w:rsidDel="00000000" w:rsidR="00000000" w:rsidRPr="00000000">
        <w:rPr>
          <w:rFonts w:ascii="Arial" w:cs="Arial" w:eastAsia="Arial" w:hAnsi="Arial"/>
          <w:i w:val="1"/>
          <w:iCs w:val="1"/>
          <w:color w:val="1f1f1f"/>
          <w:rtl w:val="0"/>
        </w:rPr>
        <w:t xml:space="preserve">pointwise</w:t>
      </w:r>
      <w:r w:rsidDel="00000000" w:rsidR="00000000" w:rsidRPr="00000000">
        <w:rPr>
          <w:rFonts w:ascii="Arial" w:cs="Arial" w:eastAsia="Arial" w:hAnsi="Arial"/>
          <w:color w:val="1f1f1f"/>
          <w:rtl w:val="0"/>
        </w:rPr>
        <w:t xml:space="preserve"> o $1\times 1$) que combina las salidas.</w:t>
      </w:r>
    </w:p>
    <w:p w:rsidR="00000000" w:rsidDel="00000000" w:rsidP="00000000" w:rsidRDefault="00000000" w:rsidRPr="00000000" w14:paraId="00000010">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Este enfoque reduce drásticamente el número de operaciones de multiplicación y suma, permitiendo que el modelo sea mucho más ligero sin perder significativamente la capacidad de aprendizaje. La Taxonomía de diseño propuesta permite a los desarrolladores controlar el tamaño y la velocidad mediante dos hiperparámetros clave: el multiplicador de ancho (</w:t>
      </w:r>
      <w:r w:rsidDel="00000000" w:rsidR="00000000" w:rsidRPr="00000000">
        <w:rPr>
          <w:rFonts w:ascii="Arial" w:cs="Arial" w:eastAsia="Arial" w:hAnsi="Arial"/>
          <w:i w:val="1"/>
          <w:iCs w:val="1"/>
          <w:color w:val="1f1f1f"/>
          <w:rtl w:val="0"/>
        </w:rPr>
        <w:t xml:space="preserve">width multiplier</w:t>
      </w:r>
      <w:r w:rsidDel="00000000" w:rsidR="00000000" w:rsidRPr="00000000">
        <w:rPr>
          <w:rFonts w:ascii="Arial" w:cs="Arial" w:eastAsia="Arial" w:hAnsi="Arial"/>
          <w:color w:val="1f1f1f"/>
          <w:rtl w:val="0"/>
        </w:rPr>
        <w:t xml:space="preserve">) y el multiplicador de resolución (</w:t>
      </w:r>
      <w:r w:rsidDel="00000000" w:rsidR="00000000" w:rsidRPr="00000000">
        <w:rPr>
          <w:rFonts w:ascii="Arial" w:cs="Arial" w:eastAsia="Arial" w:hAnsi="Arial"/>
          <w:i w:val="1"/>
          <w:iCs w:val="1"/>
          <w:color w:val="1f1f1f"/>
          <w:rtl w:val="0"/>
        </w:rPr>
        <w:t xml:space="preserve">resolution multiplier</w:t>
      </w:r>
      <w:r w:rsidDel="00000000" w:rsidR="00000000" w:rsidRPr="00000000">
        <w:rPr>
          <w:rFonts w:ascii="Arial" w:cs="Arial" w:eastAsia="Arial" w:hAnsi="Arial"/>
          <w:color w:val="1f1f1f"/>
          <w:rtl w:val="0"/>
        </w:rPr>
        <w:t xml:space="preserve">), brindando una hoja de ruta científicamente validada para escalar el modelo según el hardware disponible. El inmenso impacto empresarial y social es que democratiza el acceso a la visión artificial, protegiendo a los desarrolladores de incurrir en costos de infraestructura inmanejables.</w:t>
      </w:r>
    </w:p>
    <w:p w:rsidR="00000000" w:rsidDel="00000000" w:rsidP="00000000" w:rsidRDefault="00000000" w:rsidRPr="00000000" w14:paraId="00000011">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Proceso para obtener el aporte que considera el autor</w:t>
      </w:r>
    </w:p>
    <w:p w:rsidR="00000000" w:rsidDel="00000000" w:rsidP="00000000" w:rsidRDefault="00000000" w:rsidRPr="00000000" w14:paraId="00000012">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cimentar su arquitectura propuesta y garantizar su validez, los autores emplearon un riguroso proceso metodológico de optimización arquitectónica. La investigación comenzó con la formulación de una pregunta enfocada en la reducción de costos computacionales sin sacrificar la capacidad de extracción de características. Posteriormente, ejecutaron extensas pruebas de estrés en arquitecturas MobileNet utilizando el dataset ImageNet, comparando su rendimiento frente a modelos pesados tradicionales.</w:t>
      </w:r>
    </w:p>
    <w:p w:rsidR="00000000" w:rsidDel="00000000" w:rsidP="00000000" w:rsidRDefault="00000000" w:rsidRPr="00000000" w14:paraId="00000013">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proceso investigativo procesó la arquitectura analizando cómo el uso de convoluciones separables en profundidad permitía reducir hasta 8 o 9 veces el costo computacional con respecto a una convolución estándar con una pérdida mínima de precisión. Para validar su fiabilidad, sometieron la arquitectura a una serie de experimentos de ablación, donde fueron retirando capas y ajustando los multiplicadores de ancho, alcanzando un notable equilibrio entre latencia y exactitud que solidifica la eficiencia del aporte.</w:t>
      </w:r>
    </w:p>
    <w:p w:rsidR="00000000" w:rsidDel="00000000" w:rsidP="00000000" w:rsidRDefault="00000000" w:rsidRPr="00000000" w14:paraId="00000014">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Proceso para resolver el problema considerado por el autor</w:t>
      </w:r>
    </w:p>
    <w:p w:rsidR="00000000" w:rsidDel="00000000" w:rsidP="00000000" w:rsidRDefault="00000000" w:rsidRPr="00000000" w14:paraId="00000015">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resolver el problema de la falta de consenso sobre si era posible mantener la calidad en redes ligeras, los autores trascienden la teoría y ejecutan un análisis comparativo frente a los estándares de la época. Extraen las métricas empíricas de arquitecturas como AlexNet, VGG y GoogleNet, y las contrastan con MobileNet.</w:t>
      </w:r>
    </w:p>
    <w:p w:rsidR="00000000" w:rsidDel="00000000" w:rsidP="00000000" w:rsidRDefault="00000000" w:rsidRPr="00000000" w14:paraId="00000016">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proceso de resolución evalúa estas arquitecturas bajo el prisma de los "compromisos computacionales" o </w:t>
      </w:r>
      <w:r w:rsidDel="00000000" w:rsidR="00000000" w:rsidRPr="00000000">
        <w:rPr>
          <w:rFonts w:ascii="Arial" w:cs="Arial" w:eastAsia="Arial" w:hAnsi="Arial"/>
          <w:i w:val="1"/>
          <w:iCs w:val="1"/>
          <w:color w:val="1f1f1f"/>
          <w:rtl w:val="0"/>
        </w:rPr>
        <w:t xml:space="preserve">trade-offs</w:t>
      </w:r>
      <w:r w:rsidDel="00000000" w:rsidR="00000000" w:rsidRPr="00000000">
        <w:rPr>
          <w:rFonts w:ascii="Arial" w:cs="Arial" w:eastAsia="Arial" w:hAnsi="Arial"/>
          <w:color w:val="1f1f1f"/>
          <w:rtl w:val="0"/>
        </w:rPr>
        <w:t xml:space="preserve"> inherentes al Machine Learning; esto es, cómo interactúa la latencia frente a la exactitud. El análisis expuso que, mientras otros modelos requerían cientos de millones de operaciones de punto flotante para inferir una imagen, MobileNet lograba resultados competitivos con una fracción mínima. A través de esta evaluación cruzada, los autores resuelven el problema demostrando que la eficiencia técnica no es incompatible con la precisión, sino que requiere una arquitectura inteligente diseñada específicamente para el procesamiento ligero.</w:t>
      </w:r>
    </w:p>
    <w:p w:rsidR="00000000" w:rsidDel="00000000" w:rsidP="00000000" w:rsidRDefault="00000000" w:rsidRPr="00000000" w14:paraId="00000017">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Métricas que el autor usa y resultado que obtiene. Comentar (los resultados son mejores respecto a otros)</w:t>
      </w:r>
    </w:p>
    <w:p w:rsidR="00000000" w:rsidDel="00000000" w:rsidP="00000000" w:rsidRDefault="00000000" w:rsidRPr="00000000" w14:paraId="00000018">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estudio consolida un conjunto de métricas para el benchmarking: Exactitud Top-1 (en ImageNet), el número de Parámetros, los </w:t>
      </w:r>
      <w:r w:rsidDel="00000000" w:rsidR="00000000" w:rsidRPr="00000000">
        <w:rPr>
          <w:rFonts w:ascii="Arial" w:cs="Arial" w:eastAsia="Arial" w:hAnsi="Arial"/>
          <w:i w:val="1"/>
          <w:iCs w:val="1"/>
          <w:color w:val="1f1f1f"/>
          <w:rtl w:val="0"/>
        </w:rPr>
        <w:t xml:space="preserve">Mult-Adds</w:t>
      </w:r>
      <w:r w:rsidDel="00000000" w:rsidR="00000000" w:rsidRPr="00000000">
        <w:rPr>
          <w:rFonts w:ascii="Arial" w:cs="Arial" w:eastAsia="Arial" w:hAnsi="Arial"/>
          <w:color w:val="1f1f1f"/>
          <w:rtl w:val="0"/>
        </w:rPr>
        <w:t xml:space="preserve"> (operaciones necesarias para una inferencia) y la latencia en dispositivos móviles reales.</w:t>
      </w:r>
    </w:p>
    <w:p w:rsidR="00000000" w:rsidDel="00000000" w:rsidP="00000000" w:rsidRDefault="00000000" w:rsidRPr="00000000" w14:paraId="00000019">
      <w:pPr>
        <w:widowControl w:val="1"/>
        <w:numPr>
          <w:ilvl w:val="0"/>
          <w:numId w:val="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Fonts w:ascii="Arial" w:cs="Arial" w:eastAsia="Arial" w:hAnsi="Arial"/>
          <w:b w:val="1"/>
          <w:bCs w:val="1"/>
          <w:color w:val="1f1f1f"/>
          <w:rtl w:val="0"/>
        </w:rPr>
        <w:t xml:space="preserve">MobileNet:</w:t>
      </w:r>
      <w:r w:rsidDel="00000000" w:rsidR="00000000" w:rsidRPr="00000000">
        <w:rPr>
          <w:rFonts w:ascii="Arial" w:cs="Arial" w:eastAsia="Arial" w:hAnsi="Arial"/>
          <w:color w:val="1f1f1f"/>
          <w:rtl w:val="0"/>
        </w:rPr>
        <w:t xml:space="preserve"> Alcanzó una exactitud competitiva con solo un 1.1% menos que modelos mucho más pesados, pero con una reducción drástica en el número de parámetros y operaciones.</w:t>
      </w:r>
    </w:p>
    <w:p w:rsidR="00000000" w:rsidDel="00000000" w:rsidP="00000000" w:rsidRDefault="00000000" w:rsidRPr="00000000" w14:paraId="0000001A">
      <w:pPr>
        <w:widowControl w:val="1"/>
        <w:numPr>
          <w:ilvl w:val="0"/>
          <w:numId w:val="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Fonts w:ascii="Arial" w:cs="Arial" w:eastAsia="Arial" w:hAnsi="Arial"/>
          <w:b w:val="1"/>
          <w:bCs w:val="1"/>
          <w:color w:val="1f1f1f"/>
          <w:rtl w:val="0"/>
        </w:rPr>
        <w:t xml:space="preserve">Latencia:</w:t>
      </w:r>
      <w:r w:rsidDel="00000000" w:rsidR="00000000" w:rsidRPr="00000000">
        <w:rPr>
          <w:rFonts w:ascii="Arial" w:cs="Arial" w:eastAsia="Arial" w:hAnsi="Arial"/>
          <w:color w:val="1f1f1f"/>
          <w:rtl w:val="0"/>
        </w:rPr>
        <w:t xml:space="preserve"> Resultados de inferencia en dispositivos móviles con latencias de pocos milisegundos.</w:t>
      </w:r>
    </w:p>
    <w:p w:rsidR="00000000" w:rsidDel="00000000" w:rsidP="00000000" w:rsidRDefault="00000000" w:rsidRPr="00000000" w14:paraId="0000001B">
      <w:pPr>
        <w:widowControl w:val="1"/>
        <w:numPr>
          <w:ilvl w:val="0"/>
          <w:numId w:val="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La utilización de una métrica de </w:t>
      </w:r>
      <w:r w:rsidDel="00000000" w:rsidR="00000000" w:rsidRPr="00000000">
        <w:rPr>
          <w:rFonts w:ascii="Arial" w:cs="Arial" w:eastAsia="Arial" w:hAnsi="Arial"/>
          <w:i w:val="1"/>
          <w:iCs w:val="1"/>
          <w:color w:val="1f1f1f"/>
          <w:rtl w:val="0"/>
        </w:rPr>
        <w:t xml:space="preserve">Mult-Adds</w:t>
      </w:r>
      <w:r w:rsidDel="00000000" w:rsidR="00000000" w:rsidRPr="00000000">
        <w:rPr>
          <w:rFonts w:ascii="Arial" w:cs="Arial" w:eastAsia="Arial" w:hAnsi="Arial"/>
          <w:color w:val="1f1f1f"/>
          <w:rtl w:val="0"/>
        </w:rPr>
        <w:t xml:space="preserve"> es una decisión metodológica excelente, ya que expone cuánto esfuerzo computacional realmente consume la red. El hecho de que MobileNet resulte victoriosa en términos de eficiencia es profundamente lógico para dominios como el agrícola: los usuarios finales (agricultores) necesitan respuestas rápidas y funcionales en sus teléfonos, no modelos matemáticos masivos que tarden minutos en procesar una imagen foliar.</w:t>
      </w:r>
    </w:p>
    <w:p w:rsidR="00000000" w:rsidDel="00000000" w:rsidP="00000000" w:rsidRDefault="00000000" w:rsidRPr="00000000" w14:paraId="0000001C">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Observaciones y/o críticas suyas al artículo</w:t>
      </w:r>
    </w:p>
    <w:p w:rsidR="00000000" w:rsidDel="00000000" w:rsidP="00000000" w:rsidRDefault="00000000" w:rsidRPr="00000000" w14:paraId="0000001D">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 bien esta propuesta es una pieza fundamental que permite que hoy podamos considerar el despliegue de nuestra tesis en aplicaciones web móviles, presenta limitaciones que requieren escrutinio. Su mayor debilidad es la naturaleza del modelo: al reducir tanto el número de filtros y la complejidad de las convoluciones, MobileNet sacrifica la capacidad de detectar características visuales sumamente sutiles o pequeñas.</w:t>
      </w:r>
    </w:p>
    <w:p w:rsidR="00000000" w:rsidDel="00000000" w:rsidP="00000000" w:rsidRDefault="00000000" w:rsidRPr="00000000" w14:paraId="0000001E">
      <w:pPr>
        <w:widowControl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En nuestro contexto, esto implica que, si las lesiones del tizón en la papa se presentan en etapas muy tempranas con manchas apenas perceptibles, el modelo podría subestimar la enfermedad. Además, aunque los autores brindan una arquitectura brillante, la integración real en un flujo de trabajo de producción (usando Docker, Laravel o FastAPI) requiere una optimización adicional de los pesos serializados, ya que el modelo por sí solo no garantiza la latencia si no se gestiona correctamente la transferencia de datos entre la cámara del dispositivo móvil y el servidor que realiza la inferencia.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u w:val="singl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y3pfoX7zuOMLfx5R3kbTLl18w==">CgMxLjA4AHIhMVhsT2Y3TmczYkt3NGpJMFE4a014bjBXOGlQbGFPcHNm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