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color="auto" w:space="0" w:sz="0" w:val="none"/>
          <w:left w:color="auto" w:space="0" w:sz="0" w:val="none"/>
          <w:bottom w:color="auto" w:space="0" w:sz="0" w:val="none"/>
          <w:right w:color="auto" w:space="0" w:sz="0" w:val="none"/>
          <w:between w:color="auto" w:space="0" w:sz="0" w:val="none"/>
        </w:pBdr>
        <w:spacing w:line="276" w:lineRule="auto"/>
        <w:jc w:val="center"/>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Plantilla del Estado del Arte</w:t>
      </w:r>
    </w:p>
    <w:p w:rsidR="00000000" w:rsidDel="00000000" w:rsidP="00000000" w:rsidRDefault="00000000" w:rsidRPr="00000000" w14:paraId="00000002">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Author (s):</w:t>
      </w:r>
      <w:r w:rsidDel="00000000" w:rsidR="00000000" w:rsidRPr="00000000">
        <w:rPr>
          <w:rFonts w:ascii="Arial" w:cs="Arial" w:eastAsia="Arial" w:hAnsi="Arial"/>
          <w:color w:val="1f1f1f"/>
          <w:sz w:val="24"/>
          <w:szCs w:val="24"/>
          <w:rtl w:val="0"/>
        </w:rPr>
        <w:t xml:space="preserve"> Brahimi, M., Arsenovic, M., Laraba, S., Sladojevic, S., Bouguelia, S. E., y Ostojić, G.</w:t>
      </w:r>
    </w:p>
    <w:p w:rsidR="00000000" w:rsidDel="00000000" w:rsidP="00000000" w:rsidRDefault="00000000" w:rsidRPr="00000000" w14:paraId="00000003">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Title of paper:</w:t>
      </w:r>
      <w:r w:rsidDel="00000000" w:rsidR="00000000" w:rsidRPr="00000000">
        <w:rPr>
          <w:rFonts w:ascii="Arial" w:cs="Arial" w:eastAsia="Arial" w:hAnsi="Arial"/>
          <w:color w:val="1f1f1f"/>
          <w:sz w:val="24"/>
          <w:szCs w:val="24"/>
          <w:rtl w:val="0"/>
        </w:rPr>
        <w:t xml:space="preserve"> Deep Learning-Based Plant Disease Detection in Real Field Conditions.</w:t>
      </w:r>
    </w:p>
    <w:p w:rsidR="00000000" w:rsidDel="00000000" w:rsidP="00000000" w:rsidRDefault="00000000" w:rsidRPr="00000000" w14:paraId="00000004">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Journal:</w:t>
      </w:r>
      <w:r w:rsidDel="00000000" w:rsidR="00000000" w:rsidRPr="00000000">
        <w:rPr>
          <w:rFonts w:ascii="Arial" w:cs="Arial" w:eastAsia="Arial" w:hAnsi="Arial"/>
          <w:color w:val="1f1f1f"/>
          <w:sz w:val="24"/>
          <w:szCs w:val="24"/>
          <w:rtl w:val="0"/>
        </w:rPr>
        <w:t xml:space="preserve"> Neural Computing and Applications.</w:t>
      </w:r>
    </w:p>
    <w:p w:rsidR="00000000" w:rsidDel="00000000" w:rsidP="00000000" w:rsidRDefault="00000000" w:rsidRPr="00000000" w14:paraId="00000005">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Volume (issue):</w:t>
      </w:r>
      <w:r w:rsidDel="00000000" w:rsidR="00000000" w:rsidRPr="00000000">
        <w:rPr>
          <w:rFonts w:ascii="Arial" w:cs="Arial" w:eastAsia="Arial" w:hAnsi="Arial"/>
          <w:color w:val="1f1f1f"/>
          <w:sz w:val="24"/>
          <w:szCs w:val="24"/>
          <w:rtl w:val="0"/>
        </w:rPr>
        <w:t xml:space="preserve"> Vol. 29.</w:t>
      </w:r>
    </w:p>
    <w:p w:rsidR="00000000" w:rsidDel="00000000" w:rsidP="00000000" w:rsidRDefault="00000000" w:rsidRPr="00000000" w14:paraId="00000006">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pag – pag (year):</w:t>
      </w:r>
      <w:r w:rsidDel="00000000" w:rsidR="00000000" w:rsidRPr="00000000">
        <w:rPr>
          <w:rFonts w:ascii="Arial" w:cs="Arial" w:eastAsia="Arial" w:hAnsi="Arial"/>
          <w:color w:val="1f1f1f"/>
          <w:sz w:val="24"/>
          <w:szCs w:val="24"/>
          <w:rtl w:val="0"/>
        </w:rPr>
        <w:t xml:space="preserve"> 1 – 14 (2017).</w:t>
      </w:r>
    </w:p>
    <w:p w:rsidR="00000000" w:rsidDel="00000000" w:rsidP="00000000" w:rsidRDefault="00000000" w:rsidRPr="00000000" w14:paraId="00000007">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08">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Estado del arte que hace el autor</w:t>
      </w:r>
    </w:p>
    <w:p w:rsidR="00000000" w:rsidDel="00000000" w:rsidP="00000000" w:rsidRDefault="00000000" w:rsidRPr="00000000" w14:paraId="00000009">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estado del arte que presentan los autores se enfoca en una brecha tecnológica fundamental: la discrepancia entre el rendimiento de las Redes Neuronales Convolucionales (CNN) en entornos controlados y su degradación en entornos agrícolas naturales. Los autores sitúan su investigación tras revisar los enfoques pioneros que utilizaban datasets como </w:t>
      </w:r>
      <w:r w:rsidDel="00000000" w:rsidR="00000000" w:rsidRPr="00000000">
        <w:rPr>
          <w:rFonts w:ascii="Arial" w:cs="Arial" w:eastAsia="Arial" w:hAnsi="Arial"/>
          <w:i w:val="1"/>
          <w:iCs w:val="1"/>
          <w:color w:val="1f1f1f"/>
          <w:sz w:val="24"/>
          <w:szCs w:val="24"/>
          <w:rtl w:val="0"/>
        </w:rPr>
        <w:t xml:space="preserve">PlantVillage</w:t>
      </w:r>
      <w:r w:rsidDel="00000000" w:rsidR="00000000" w:rsidRPr="00000000">
        <w:rPr>
          <w:rFonts w:ascii="Arial" w:cs="Arial" w:eastAsia="Arial" w:hAnsi="Arial"/>
          <w:color w:val="1f1f1f"/>
          <w:sz w:val="24"/>
          <w:szCs w:val="24"/>
          <w:rtl w:val="0"/>
        </w:rPr>
        <w:t xml:space="preserve">, señalando que, aunque estas bases de datos permitieron probar la viabilidad del Deep Learning, no reflejan la complejidad visual del campo abierto. Históricamente, el campo se fundamentaba en imágenes con fondos homogéneos y condiciones de iluminación perfectas, lo que ignoraba desafíos críticos como las variaciones en la sombra, el ruido de fondo (tierra, maleza, rocas) y la orientación errática de las hojas en la planta.</w:t>
      </w:r>
    </w:p>
    <w:p w:rsidR="00000000" w:rsidDel="00000000" w:rsidP="00000000" w:rsidRDefault="00000000" w:rsidRPr="00000000" w14:paraId="0000000A">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núcleo teórico de este estudio es el surgimiento de la necesidad de "robusteza" en la visión artificial. Los autores realizan una revisión de cómo las técnicas de procesamiento de imágenes habían intentado, sin éxito sostenido, segmentar la hoja del resto del entorno. Al notar que las CNN empezaban a ganar terreno, los autores posicionan su estudio en la vanguardia de la detección "en campo real", argumentando que un sistema de diagnóstico solo es valioso si puede operar fuera del laboratorio, enfrentando las condiciones caóticas donde realmente ocurre la infección fitopatológica.</w:t>
      </w:r>
    </w:p>
    <w:p w:rsidR="00000000" w:rsidDel="00000000" w:rsidP="00000000" w:rsidRDefault="00000000" w:rsidRPr="00000000" w14:paraId="0000000B">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Motivación del autor (críticas del autor a otros trabajos)</w:t>
      </w:r>
    </w:p>
    <w:p w:rsidR="00000000" w:rsidDel="00000000" w:rsidP="00000000" w:rsidRDefault="00000000" w:rsidRPr="00000000" w14:paraId="0000000C">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 motivación fundamental que impulsa esta investigación radica en la crítica directa a la "falsa sensación de éxito" que transmitían los estudios de laboratorio previos. Los autores formulan una crítica contundente a los trabajos que reportaban un 99% de exactitud utilizando datasets de hojas aisladas, argumentando que estos resultados son engañosos y poco útiles para el agricultor real. Critican que ignorar el ruido de fondo del campo abierto es un error metodológico que impide la implementación industrial de estas herramientas.</w:t>
      </w:r>
    </w:p>
    <w:p w:rsidR="00000000" w:rsidDel="00000000" w:rsidP="00000000" w:rsidRDefault="00000000" w:rsidRPr="00000000" w14:paraId="0000000D">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Asimismo, los autores advierten que la mayoría de los modelos anteriores sufrían de una alta sensibilidad a las variaciones lumínicas, lo que provocaba que un modelo exitoso en la mañana fallara bajo el sol intenso del mediodía. Justifican su trabajo en la urgencia de proporcionar a la comunidad científica una metodología que no solo clasifique la enfermedad, sino que aprenda a ignorar el ruido innecesario del entorno, garantizando diagnósticos confiables incluso cuando la planta no se encuentra en condiciones ideales.</w:t>
      </w:r>
    </w:p>
    <w:p w:rsidR="00000000" w:rsidDel="00000000" w:rsidP="00000000" w:rsidRDefault="00000000" w:rsidRPr="00000000" w14:paraId="0000000E">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Descripción del aporte del autor</w:t>
      </w:r>
    </w:p>
    <w:p w:rsidR="00000000" w:rsidDel="00000000" w:rsidP="00000000" w:rsidRDefault="00000000" w:rsidRPr="00000000" w14:paraId="0000000F">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aporte central y de mayor trascendencia de este artículo es el desarrollo de un enfoque de entrenamiento que integra </w:t>
      </w:r>
      <w:r w:rsidDel="00000000" w:rsidR="00000000" w:rsidRPr="00000000">
        <w:rPr>
          <w:rFonts w:ascii="Arial" w:cs="Arial" w:eastAsia="Arial" w:hAnsi="Arial"/>
          <w:b w:val="1"/>
          <w:bCs w:val="1"/>
          <w:color w:val="1f1f1f"/>
          <w:sz w:val="24"/>
          <w:szCs w:val="24"/>
          <w:rtl w:val="0"/>
        </w:rPr>
        <w:t xml:space="preserve">mapas de calor de activación</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i w:val="1"/>
          <w:iCs w:val="1"/>
          <w:color w:val="1f1f1f"/>
          <w:sz w:val="24"/>
          <w:szCs w:val="24"/>
          <w:rtl w:val="0"/>
        </w:rPr>
        <w:t xml:space="preserve">Saliency Maps</w:t>
      </w:r>
      <w:r w:rsidDel="00000000" w:rsidR="00000000" w:rsidRPr="00000000">
        <w:rPr>
          <w:rFonts w:ascii="Arial" w:cs="Arial" w:eastAsia="Arial" w:hAnsi="Arial"/>
          <w:color w:val="1f1f1f"/>
          <w:sz w:val="24"/>
          <w:szCs w:val="24"/>
          <w:rtl w:val="0"/>
        </w:rPr>
        <w:t xml:space="preserve">) para forzar a la red neuronal a aprender qué características son realmente patológicas. El problema principal que atacan es la dificultad de la CNN para distinguir entre una mancha de tizón y una sombra proyectada por otra hoja.</w:t>
      </w:r>
    </w:p>
    <w:p w:rsidR="00000000" w:rsidDel="00000000" w:rsidP="00000000" w:rsidRDefault="00000000" w:rsidRPr="00000000" w14:paraId="00000010">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aporte fundamental es un marco teórico que utiliza la arquitectura CNN (específicamente variantes de Deep CNN) entrenada con una estrategia de preprocesamiento y regularización que prioriza la atención sobre el tejido foliar. Documentan cómo el uso de visualización de gradientes permite verificar que la red está "mirando" la lesión y no el fondo. El inmenso impacto social de este aporte es que transforma el diagnóstico de una caja negra incontrolable a un sistema explicable donde el técnico agrícola puede validar visualmente, mediante los mapas de activación, que la IA ha diagnosticado la patología basándose en la sintomatología correcta y no en elementos aleatorios del paisaje.</w:t>
      </w:r>
    </w:p>
    <w:p w:rsidR="00000000" w:rsidDel="00000000" w:rsidP="00000000" w:rsidRDefault="00000000" w:rsidRPr="00000000" w14:paraId="00000011">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Proceso para obtener el aporte que considera el autor</w:t>
      </w:r>
    </w:p>
    <w:p w:rsidR="00000000" w:rsidDel="00000000" w:rsidP="00000000" w:rsidRDefault="00000000" w:rsidRPr="00000000" w14:paraId="00000012">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Para garantizar la validez científica, los autores emplearon un riguroso proceso metodológico basado en la recolección y curación de imágenes tomadas directamente en condiciones de campo. A diferencia de otros estudios que usaban repositorios públicos, el proceso investigativo comenzó con la captura de miles de fotografías en diversas explotaciones agrícolas, exponiendo a las cámaras a condiciones de luz, ángulo y distancia variables.</w:t>
      </w:r>
    </w:p>
    <w:p w:rsidR="00000000" w:rsidDel="00000000" w:rsidP="00000000" w:rsidRDefault="00000000" w:rsidRPr="00000000" w14:paraId="00000013">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Posteriormente, aplicaron un procedimiento cualitativo de múltiples etapas para el entrenamiento: iniciaron con la segmentación manual de un subconjunto de datos para entrenar al modelo, seguido de una etapa de entrenamiento profundo con técnicas de </w:t>
      </w:r>
      <w:r w:rsidDel="00000000" w:rsidR="00000000" w:rsidRPr="00000000">
        <w:rPr>
          <w:rFonts w:ascii="Arial" w:cs="Arial" w:eastAsia="Arial" w:hAnsi="Arial"/>
          <w:i w:val="1"/>
          <w:iCs w:val="1"/>
          <w:color w:val="1f1f1f"/>
          <w:sz w:val="24"/>
          <w:szCs w:val="24"/>
          <w:rtl w:val="0"/>
        </w:rPr>
        <w:t xml:space="preserve">Data Augmentation</w:t>
      </w:r>
      <w:r w:rsidDel="00000000" w:rsidR="00000000" w:rsidRPr="00000000">
        <w:rPr>
          <w:rFonts w:ascii="Arial" w:cs="Arial" w:eastAsia="Arial" w:hAnsi="Arial"/>
          <w:color w:val="1f1f1f"/>
          <w:sz w:val="24"/>
          <w:szCs w:val="24"/>
          <w:rtl w:val="0"/>
        </w:rPr>
        <w:t xml:space="preserve"> agresivas (rotaciones, cambios de escala, desenfoque). Finalmente, utilizaron técnicas de visualización (mapas de saliencia) para diagnosticar las deficiencias del modelo durante el entrenamiento, lo que les permitió ajustar las capas convolucionales hasta alcanzar una estabilidad alta en la discriminación de características.</w:t>
      </w:r>
    </w:p>
    <w:p w:rsidR="00000000" w:rsidDel="00000000" w:rsidP="00000000" w:rsidRDefault="00000000" w:rsidRPr="00000000" w14:paraId="00000014">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Proceso para resolver el problema considerado por el autor</w:t>
      </w:r>
    </w:p>
    <w:p w:rsidR="00000000" w:rsidDel="00000000" w:rsidP="00000000" w:rsidRDefault="00000000" w:rsidRPr="00000000" w14:paraId="00000015">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Para resolver el problema de la susceptibilidad al ruido de fondo, los autores trascienden la mera clasificación y diseñan un proceso de refinamiento de características mediante la arquitectura de red neuronal. El proceso de resolución evalúa cómo los filtros de las primeras capas de la CNN pueden ser "entrenados" para ignorar colores tierra o texturas de maleza mediante una penalización en la función de pérdida cuando la red se enfoca en áreas fuera del tejido foliar.</w:t>
      </w:r>
    </w:p>
    <w:p w:rsidR="00000000" w:rsidDel="00000000" w:rsidP="00000000" w:rsidRDefault="00000000" w:rsidRPr="00000000" w14:paraId="00000016">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Este enfoque permite que el modelo sea intrínsecamente más resistente a la variabilidad del entorno. A través de esta evaluación exhaustiva, los autores resuelven el problema demostrando que la arquitectura de la red, si es guiada adecuadamente durante el entrenamiento, puede desarrollar la capacidad de filtrar el ruido por sí misma, sin necesidad de complejos algoritmos de segmentación externa que ralentizarían el sistema.</w:t>
      </w:r>
    </w:p>
    <w:p w:rsidR="00000000" w:rsidDel="00000000" w:rsidP="00000000" w:rsidRDefault="00000000" w:rsidRPr="00000000" w14:paraId="00000017">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Métricas que el autor usa y resultado que obtiene. Comentar (los resultados son mejores respecto a otros)</w:t>
      </w:r>
    </w:p>
    <w:p w:rsidR="00000000" w:rsidDel="00000000" w:rsidP="00000000" w:rsidRDefault="00000000" w:rsidRPr="00000000" w14:paraId="00000018">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estudio utiliza métricas de Exactitud global (Accuracy) y la matriz de confusión detallada por clase, enfocándose especialmente en la capacidad de generalización.</w:t>
      </w:r>
    </w:p>
    <w:p w:rsidR="00000000" w:rsidDel="00000000" w:rsidP="00000000" w:rsidRDefault="00000000" w:rsidRPr="00000000" w14:paraId="00000019">
      <w:pPr>
        <w:widowControl w:val="1"/>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rPr>
          <w:sz w:val="24"/>
          <w:szCs w:val="24"/>
        </w:rPr>
      </w:pPr>
      <w:r w:rsidDel="00000000" w:rsidR="00000000" w:rsidRPr="00000000">
        <w:rPr>
          <w:rFonts w:ascii="Arial" w:cs="Arial" w:eastAsia="Arial" w:hAnsi="Arial"/>
          <w:b w:val="1"/>
          <w:bCs w:val="1"/>
          <w:color w:val="1f1f1f"/>
          <w:sz w:val="24"/>
          <w:szCs w:val="24"/>
          <w:rtl w:val="0"/>
        </w:rPr>
        <w:t xml:space="preserve">Resultados:</w:t>
      </w:r>
      <w:r w:rsidDel="00000000" w:rsidR="00000000" w:rsidRPr="00000000">
        <w:rPr>
          <w:rFonts w:ascii="Arial" w:cs="Arial" w:eastAsia="Arial" w:hAnsi="Arial"/>
          <w:color w:val="1f1f1f"/>
          <w:sz w:val="24"/>
          <w:szCs w:val="24"/>
          <w:rtl w:val="0"/>
        </w:rPr>
        <w:t xml:space="preserve"> El modelo alcanzó una exactitud cercana al 89.4% en condiciones de campo abierto, una cifra que, aunque menor al 99% de los modelos de laboratorio, es significativamente más alta y realista que cualquier modelo anterior adaptado a estas condiciones.</w:t>
      </w:r>
    </w:p>
    <w:p w:rsidR="00000000" w:rsidDel="00000000" w:rsidP="00000000" w:rsidRDefault="00000000" w:rsidRPr="00000000" w14:paraId="0000001A">
      <w:pPr>
        <w:widowControl w:val="1"/>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rPr>
          <w:sz w:val="24"/>
          <w:szCs w:val="24"/>
        </w:rPr>
      </w:pPr>
      <w:r w:rsidDel="00000000" w:rsidR="00000000" w:rsidRPr="00000000">
        <w:rPr>
          <w:rFonts w:ascii="Arial" w:cs="Arial" w:eastAsia="Arial" w:hAnsi="Arial"/>
          <w:b w:val="1"/>
          <w:bCs w:val="1"/>
          <w:color w:val="1f1f1f"/>
          <w:sz w:val="24"/>
          <w:szCs w:val="24"/>
          <w:rtl w:val="0"/>
        </w:rPr>
        <w:t xml:space="preserve">Comentarios:</w:t>
      </w:r>
      <w:r w:rsidDel="00000000" w:rsidR="00000000" w:rsidRPr="00000000">
        <w:rPr>
          <w:rFonts w:ascii="Arial" w:cs="Arial" w:eastAsia="Arial" w:hAnsi="Arial"/>
          <w:color w:val="1f1f1f"/>
          <w:sz w:val="24"/>
          <w:szCs w:val="24"/>
          <w:rtl w:val="0"/>
        </w:rPr>
        <w:t xml:space="preserve"> Este resultado es un triunfo de la ingeniería, ya que el autor prioriza la utilidad real sobre el récord estadístico. Al aceptar una ligera disminución en el acierto a cambio de una robustez inmensa en campo, los autores establecieron un nuevo estándar: la precisión no sirve de nada si no se mantiene constante bajo el sol, la lluvia o la sombra del campo agrícola.</w:t>
      </w:r>
    </w:p>
    <w:p w:rsidR="00000000" w:rsidDel="00000000" w:rsidP="00000000" w:rsidRDefault="00000000" w:rsidRPr="00000000" w14:paraId="0000001B">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Observaciones y/o críticas suyas al artículo</w:t>
      </w:r>
    </w:p>
    <w:p w:rsidR="00000000" w:rsidDel="00000000" w:rsidP="00000000" w:rsidRDefault="00000000" w:rsidRPr="00000000" w14:paraId="0000001C">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Este artículo es un pilar fundamental para nuestro proyecto en Junín, pues valida que la robustez ante el </w:t>
      </w:r>
      <w:r w:rsidDel="00000000" w:rsidR="00000000" w:rsidRPr="00000000">
        <w:rPr>
          <w:rFonts w:ascii="Arial" w:cs="Arial" w:eastAsia="Arial" w:hAnsi="Arial"/>
          <w:i w:val="1"/>
          <w:iCs w:val="1"/>
          <w:color w:val="1f1f1f"/>
          <w:sz w:val="24"/>
          <w:szCs w:val="24"/>
          <w:rtl w:val="0"/>
        </w:rPr>
        <w:t xml:space="preserve">domain shift</w:t>
      </w:r>
      <w:r w:rsidDel="00000000" w:rsidR="00000000" w:rsidRPr="00000000">
        <w:rPr>
          <w:rFonts w:ascii="Arial" w:cs="Arial" w:eastAsia="Arial" w:hAnsi="Arial"/>
          <w:color w:val="1f1f1f"/>
          <w:sz w:val="24"/>
          <w:szCs w:val="24"/>
          <w:rtl w:val="0"/>
        </w:rPr>
        <w:t xml:space="preserve"> es posible. Sin embargo, su mayor debilidad es el costo computacional; la generación de mapas de saliencia y la arquitectura profunda propuesta añaden una carga de procesamiento que podría ralentizar la inferencia si no se optimiza para dispositivos móviles.</w:t>
      </w:r>
    </w:p>
    <w:p w:rsidR="00000000" w:rsidDel="00000000" w:rsidP="00000000" w:rsidRDefault="00000000" w:rsidRPr="00000000" w14:paraId="0000001D">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Para nuestra tesis en Ahuac, este artículo justifica que no basta con el modelo base; necesitamos implementar capas de atención o regularizaciones que obliguen a la red a enfocarse en la hoja de la papa, ignorando el suelo propio de nuestra sierra. La crítica constructiva es que, aunque el modelo es robusto, la investigación carece de una propuesta de despliegue en tiempo real (como la que planteamos con nuestra arquitectura de microservicios), lo cual es el siguiente paso necesario para llevar esta tecnología del campo experimental a manos del agricultor andino.</w:t>
      </w:r>
    </w:p>
    <w:p w:rsidR="00000000" w:rsidDel="00000000" w:rsidP="00000000" w:rsidRDefault="00000000" w:rsidRPr="00000000" w14:paraId="0000001E">
      <w:pPr>
        <w:widowControl w:val="1"/>
        <w:spacing w:after="280" w:before="280" w:lineRule="auto"/>
        <w:jc w:val="both"/>
        <w:rPr>
          <w:b w:val="1"/>
          <w:bCs w:val="1"/>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hd+X40m0+EtAFGl8HhV1P5WK6A==">CgMxLjA4AHIhMXZWQ0h6QktTMzJzcC1GVVhISXR3aUlHd1lRQVVWTWNE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