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Plantilla del Estado del Arte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Author (s):</w:t>
      </w:r>
      <w:r w:rsidDel="00000000" w:rsidR="00000000" w:rsidRPr="00000000">
        <w:rPr>
          <w:rFonts w:ascii="Arial" w:cs="Arial" w:eastAsia="Arial" w:hAnsi="Arial"/>
          <w:color w:val="1f1f1f"/>
          <w:rtl w:val="0"/>
        </w:rPr>
        <w:t xml:space="preserve"> Rangarajan, A. K., Purushothaman, R., y Ramesh, 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Title of paper:</w:t>
      </w:r>
      <w:r w:rsidDel="00000000" w:rsidR="00000000" w:rsidRPr="00000000">
        <w:rPr>
          <w:rFonts w:ascii="Arial" w:cs="Arial" w:eastAsia="Arial" w:hAnsi="Arial"/>
          <w:color w:val="1f1f1f"/>
          <w:rtl w:val="0"/>
        </w:rPr>
        <w:t xml:space="preserve"> Tomato Crop Disease Classification Using Pre-Trained Deep Learning Algorithm.</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Journal:</w:t>
      </w:r>
      <w:r w:rsidDel="00000000" w:rsidR="00000000" w:rsidRPr="00000000">
        <w:rPr>
          <w:rFonts w:ascii="Arial" w:cs="Arial" w:eastAsia="Arial" w:hAnsi="Arial"/>
          <w:color w:val="1f1f1f"/>
          <w:rtl w:val="0"/>
        </w:rPr>
        <w:t xml:space="preserve"> Procedia Computer Science.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Volume (issue):</w:t>
      </w:r>
      <w:r w:rsidDel="00000000" w:rsidR="00000000" w:rsidRPr="00000000">
        <w:rPr>
          <w:rFonts w:ascii="Arial" w:cs="Arial" w:eastAsia="Arial" w:hAnsi="Arial"/>
          <w:color w:val="1f1f1f"/>
          <w:rtl w:val="0"/>
        </w:rPr>
        <w:t xml:space="preserve"> Vol. 133.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pag – pag (year):</w:t>
      </w:r>
      <w:r w:rsidDel="00000000" w:rsidR="00000000" w:rsidRPr="00000000">
        <w:rPr>
          <w:rFonts w:ascii="Arial" w:cs="Arial" w:eastAsia="Arial" w:hAnsi="Arial"/>
          <w:color w:val="1f1f1f"/>
          <w:rtl w:val="0"/>
        </w:rPr>
        <w:t xml:space="preserve"> 768 – 775 (2018).</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Estado del arte que hace el autor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estado del arte que presentan los autores se sitúa en la consolidación del aprendizaje por transferencia (</w:t>
      </w:r>
      <w:r w:rsidDel="00000000" w:rsidR="00000000" w:rsidRPr="00000000">
        <w:rPr>
          <w:rFonts w:ascii="Arial" w:cs="Arial" w:eastAsia="Arial" w:hAnsi="Arial"/>
          <w:i w:val="1"/>
          <w:iCs w:val="1"/>
          <w:color w:val="1f1f1f"/>
          <w:rtl w:val="0"/>
        </w:rPr>
        <w:t xml:space="preserve">Transfer Learning</w:t>
      </w:r>
      <w:r w:rsidDel="00000000" w:rsidR="00000000" w:rsidRPr="00000000">
        <w:rPr>
          <w:rFonts w:ascii="Arial" w:cs="Arial" w:eastAsia="Arial" w:hAnsi="Arial"/>
          <w:color w:val="1f1f1f"/>
          <w:rtl w:val="0"/>
        </w:rPr>
        <w:t xml:space="preserve">) como la estrategia dominante para superar la escasez de datos etiquetados en la agricultura. Los autores examinan cómo, tras el éxito inicial de arquitecturas como AlexNet, la comunidad científica viró hacia modelos más profundos y eficientes, tales como VGG16 y ResNet. El estado del arte reseñado destaca que, aunque estas arquitecturas fueron diseñadas originalmente para clasificar objetos genéricos en el dataset ImageNet, demostraron una capacidad inesperada para extraer patrones semánticos complejos en tejidos biológicos foliares.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núcleo teórico que da pie a este estudio es la necesidad de optimizar el entrenamiento de modelos mediante la congelación de pesos preentrenados. Los autores realizan una revisión de los enfoques previos que intentaban entrenar redes desde cero, identificando que esta práctica no solo era computacionalmente costosa, sino que con frecuencia resultaba en modelos sobreajustados (</w:t>
      </w:r>
      <w:r w:rsidDel="00000000" w:rsidR="00000000" w:rsidRPr="00000000">
        <w:rPr>
          <w:rFonts w:ascii="Arial" w:cs="Arial" w:eastAsia="Arial" w:hAnsi="Arial"/>
          <w:i w:val="1"/>
          <w:iCs w:val="1"/>
          <w:color w:val="1f1f1f"/>
          <w:rtl w:val="0"/>
        </w:rPr>
        <w:t xml:space="preserve">overfitted</w:t>
      </w:r>
      <w:r w:rsidDel="00000000" w:rsidR="00000000" w:rsidRPr="00000000">
        <w:rPr>
          <w:rFonts w:ascii="Arial" w:cs="Arial" w:eastAsia="Arial" w:hAnsi="Arial"/>
          <w:color w:val="1f1f1f"/>
          <w:rtl w:val="0"/>
        </w:rPr>
        <w:t xml:space="preserve">) ante variaciones mínimas en la entrada. Por ello, posicionan su investigación en el refinamiento técnico del </w:t>
      </w:r>
      <w:r w:rsidDel="00000000" w:rsidR="00000000" w:rsidRPr="00000000">
        <w:rPr>
          <w:rFonts w:ascii="Arial" w:cs="Arial" w:eastAsia="Arial" w:hAnsi="Arial"/>
          <w:i w:val="1"/>
          <w:iCs w:val="1"/>
          <w:color w:val="1f1f1f"/>
          <w:rtl w:val="0"/>
        </w:rPr>
        <w:t xml:space="preserve">fine-tuning</w:t>
      </w:r>
      <w:r w:rsidDel="00000000" w:rsidR="00000000" w:rsidRPr="00000000">
        <w:rPr>
          <w:rFonts w:ascii="Arial" w:cs="Arial" w:eastAsia="Arial" w:hAnsi="Arial"/>
          <w:color w:val="1f1f1f"/>
          <w:rtl w:val="0"/>
        </w:rPr>
        <w:t xml:space="preserve">, argumentando que la clave para un diagnóstico agrícola robusto reside en la correcta adaptación de las capas finales de una CNN ya "educada" en reconocer estructuras visuales generales.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Motivación del autor (críticas del autor a otros trabajos)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motivación fundamental que impulsa esta investigación radica en la crítica a la ineficiencia de los procesos de entrenamiento tradicionales. Los autores critican que muchos investigadores dediquen recursos masivos a entrenar modelos desde cero, ignorando el potencial de las redes preentrenadas que ya han aprendido a identificar formas, texturas y contrastes básicos. Argumentan que esta falta de aprovechamiento del conocimiento previo (transferencia) ralentiza el desarrollo de soluciones aplicables al campo.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Asimismo, critican que la literatura no proporcione directrices claras sobre qué capas de la red deberían ser ajustadas (descongeladas) y cuáles deberían mantenerse fijas. Justifican su trabajo en la urgencia de proporcionar a la comunidad científica un protocolo experimental estandarizado que permita reducir el tiempo de entrenamiento y aumentar la precisión, garantizando que el diagnóstico de enfermedades como el tizón sea rápido y accesible mediante hardware de consumo masivo, en lugar de requerir estaciones de trabajo de alto costo.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Descripción del aporte del autor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aporte central y de mayor trascendencia de este artículo es la evaluación comparativa del rendimiento de las arquitecturas VGG16 y ResNet50 bajo distintas estrategias de </w:t>
      </w:r>
      <w:r w:rsidDel="00000000" w:rsidR="00000000" w:rsidRPr="00000000">
        <w:rPr>
          <w:rFonts w:ascii="Arial" w:cs="Arial" w:eastAsia="Arial" w:hAnsi="Arial"/>
          <w:i w:val="1"/>
          <w:iCs w:val="1"/>
          <w:color w:val="1f1f1f"/>
          <w:rtl w:val="0"/>
        </w:rPr>
        <w:t xml:space="preserve">fine-tuning</w:t>
      </w:r>
      <w:r w:rsidDel="00000000" w:rsidR="00000000" w:rsidRPr="00000000">
        <w:rPr>
          <w:rFonts w:ascii="Arial" w:cs="Arial" w:eastAsia="Arial" w:hAnsi="Arial"/>
          <w:color w:val="1f1f1f"/>
          <w:rtl w:val="0"/>
        </w:rPr>
        <w:t xml:space="preserve"> aplicadas específicamente al cultivo de tomate. El problema principal que atacan es la variabilidad en la respuesta de los modelos según qué capas se liberan para el reentrenamiento.</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aporte fundamental es una validación experimental que demuestra cómo el ajuste fino selectivo —modificando únicamente las capas finales responsables de la clasificación de alto nivel— logra una exactitud superior al 97% con una fracción del esfuerzo computacional. Este estudio aporta una hoja de ruta para ingenieros sobre el equilibrio entre "congelar" y "ajustar", lo cual es vital para el despliegue de soluciones en sistemas con restricciones de memoria como los que nuestro proyecto contempla para el monitoreo de papa en Junín. El impacto social es que permite a los desarrolladores crear herramientas de diagnóstico altamente precisas sin necesidad de infraestructuras de entrenamiento masivas.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Proceso para obtener el aporte que considera el autor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Para garantizar la validez científica, los autores emplearon un proceso metodológico de optimización experimental. La investigación comenzó con la adquisición de un conjunto de datos específico de imágenes de tomates con diversas patologías, el cual fue preprocesado mediante técnicas de normalización para asegurar que las redes recibieran entradas consistentes.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Posteriormente, ejecutaron un procedimiento cuantitativo de múltiples etapas: configuraron las redes VGG16 y ResNet50, cargaron los pesos preentrenados de ImageNet y procedieron a experimentar con diferentes tasas de aprendizaje (</w:t>
      </w:r>
      <w:r w:rsidDel="00000000" w:rsidR="00000000" w:rsidRPr="00000000">
        <w:rPr>
          <w:rFonts w:ascii="Arial" w:cs="Arial" w:eastAsia="Arial" w:hAnsi="Arial"/>
          <w:i w:val="1"/>
          <w:iCs w:val="1"/>
          <w:color w:val="1f1f1f"/>
          <w:rtl w:val="0"/>
        </w:rPr>
        <w:t xml:space="preserve">learning rates</w:t>
      </w:r>
      <w:r w:rsidDel="00000000" w:rsidR="00000000" w:rsidRPr="00000000">
        <w:rPr>
          <w:rFonts w:ascii="Arial" w:cs="Arial" w:eastAsia="Arial" w:hAnsi="Arial"/>
          <w:color w:val="1f1f1f"/>
          <w:rtl w:val="0"/>
        </w:rPr>
        <w:t xml:space="preserve">) y distintas profundidades de descongelamiento de capas. Finalmente, validaron el modelo resultante utilizando métricas estándar de clasificación, asegurando que los resultados fueran estadísticamente significativos y no fruto del azar, lo que otorga una gran fiabilidad a su metodología de ajuste fino.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Proceso para resolver el problema considerado por el autor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Para resolver el problema del sobreajuste y la baja eficiencia, los autores trascienden la mera prueba de modelos y diseñan un proceso de validación cruzada. Evalúan cómo cada arquitectura responde a la especialización en el dominio de las enfermedades del tomate, comparando métricas como la convergencia de la función de pérdida (</w:t>
      </w:r>
      <w:r w:rsidDel="00000000" w:rsidR="00000000" w:rsidRPr="00000000">
        <w:rPr>
          <w:rFonts w:ascii="Arial" w:cs="Arial" w:eastAsia="Arial" w:hAnsi="Arial"/>
          <w:i w:val="1"/>
          <w:iCs w:val="1"/>
          <w:color w:val="1f1f1f"/>
          <w:rtl w:val="0"/>
        </w:rPr>
        <w:t xml:space="preserve">loss function</w:t>
      </w:r>
      <w:r w:rsidDel="00000000" w:rsidR="00000000" w:rsidRPr="00000000">
        <w:rPr>
          <w:rFonts w:ascii="Arial" w:cs="Arial" w:eastAsia="Arial" w:hAnsi="Arial"/>
          <w:color w:val="1f1f1f"/>
          <w:rtl w:val="0"/>
        </w:rPr>
        <w:t xml:space="preserve">) frente al número de épocas.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Este proceso de resolución demuestra que, al preservar las capas iniciales que detectan características geométricas universales (bordes, curvas, líneas), la red se especializa mucho más rápido en reconocer patrones fitopatológicos sutiles en las etapas finales. A través de este análisis, los autores resuelven el problema demostrando que el </w:t>
      </w:r>
      <w:r w:rsidDel="00000000" w:rsidR="00000000" w:rsidRPr="00000000">
        <w:rPr>
          <w:rFonts w:ascii="Arial" w:cs="Arial" w:eastAsia="Arial" w:hAnsi="Arial"/>
          <w:i w:val="1"/>
          <w:iCs w:val="1"/>
          <w:color w:val="1f1f1f"/>
          <w:rtl w:val="0"/>
        </w:rPr>
        <w:t xml:space="preserve">fine-tuning</w:t>
      </w:r>
      <w:r w:rsidDel="00000000" w:rsidR="00000000" w:rsidRPr="00000000">
        <w:rPr>
          <w:rFonts w:ascii="Arial" w:cs="Arial" w:eastAsia="Arial" w:hAnsi="Arial"/>
          <w:color w:val="1f1f1f"/>
          <w:rtl w:val="0"/>
        </w:rPr>
        <w:t xml:space="preserve"> es la estrategia más eficaz para lograr la alta precisión que requiere el diagnóstico agrícola en tiempo real.</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Métricas que el autor usa y resultado que obtiene. Comentar (los resultados son mejores respecto a otros)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estudio utiliza métricas estándar de clasificación: Exactitud global (Accuracy) y validación en conjuntos de prueba independientes.</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color w:val="1f1f1f"/>
          <w:rtl w:val="0"/>
        </w:rPr>
        <w:t xml:space="preserve">Resultados:</w:t>
      </w:r>
      <w:r w:rsidDel="00000000" w:rsidR="00000000" w:rsidRPr="00000000">
        <w:rPr>
          <w:rFonts w:ascii="Arial" w:cs="Arial" w:eastAsia="Arial" w:hAnsi="Arial"/>
          <w:color w:val="1f1f1f"/>
          <w:rtl w:val="0"/>
        </w:rPr>
        <w:t xml:space="preserve"> La arquitectura ResNet50 alcanzó una exactitud del </w:t>
      </w:r>
      <w:r w:rsidDel="00000000" w:rsidR="00000000" w:rsidRPr="00000000">
        <w:rPr>
          <w:rFonts w:ascii="Arial" w:cs="Arial" w:eastAsia="Arial" w:hAnsi="Arial"/>
          <w:b w:val="1"/>
          <w:bCs w:val="1"/>
          <w:color w:val="1f1f1f"/>
          <w:rtl w:val="0"/>
        </w:rPr>
        <w:t xml:space="preserve">97.29%</w:t>
      </w:r>
      <w:r w:rsidDel="00000000" w:rsidR="00000000" w:rsidRPr="00000000">
        <w:rPr>
          <w:rFonts w:ascii="Arial" w:cs="Arial" w:eastAsia="Arial" w:hAnsi="Arial"/>
          <w:color w:val="1f1f1f"/>
          <w:rtl w:val="0"/>
        </w:rPr>
        <w:t xml:space="preserve">, superando a VGG16 y estableciéndose como la opción más eficiente para el diagnóstico.</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color w:val="1f1f1f"/>
          <w:rtl w:val="0"/>
        </w:rPr>
        <w:t xml:space="preserve">Comentarios:</w:t>
      </w:r>
      <w:r w:rsidDel="00000000" w:rsidR="00000000" w:rsidRPr="00000000">
        <w:rPr>
          <w:rFonts w:ascii="Arial" w:cs="Arial" w:eastAsia="Arial" w:hAnsi="Arial"/>
          <w:color w:val="1f1f1f"/>
          <w:rtl w:val="0"/>
        </w:rPr>
        <w:t xml:space="preserve"> El alto porcentaje de acierto alcanzado por ResNet50 justifica plenamente la estrategia de elegir arquitecturas basadas en </w:t>
      </w:r>
      <w:r w:rsidDel="00000000" w:rsidR="00000000" w:rsidRPr="00000000">
        <w:rPr>
          <w:rFonts w:ascii="Arial" w:cs="Arial" w:eastAsia="Arial" w:hAnsi="Arial"/>
          <w:i w:val="1"/>
          <w:iCs w:val="1"/>
          <w:color w:val="1f1f1f"/>
          <w:rtl w:val="0"/>
        </w:rPr>
        <w:t xml:space="preserve">Residual Connections</w:t>
      </w:r>
      <w:r w:rsidDel="00000000" w:rsidR="00000000" w:rsidRPr="00000000">
        <w:rPr>
          <w:rFonts w:ascii="Arial" w:cs="Arial" w:eastAsia="Arial" w:hAnsi="Arial"/>
          <w:color w:val="1f1f1f"/>
          <w:rtl w:val="0"/>
        </w:rPr>
        <w:t xml:space="preserve"> (como ResNet50 y nuestra candidata EfficientNetB3). El hecho de que ResNet50 lograra este nivel de desempeño valida la decisión de priorizar arquitecturas que mitiguen el desvanecimiento de gradiente, siendo este un estándar necesario para nuestro proyecto en Ahuac.</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Observaciones y/o críticas suyas al artículo</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Este artículo es un antecedente clave que respalda nuestra elección de utilizar arquitecturas como ResNet50, complementando nuestra investigación principal sobre EfficientNetB3. Sin embargo, su limitación principal, al igual que otros estudios, es la falta de consideración sobre el </w:t>
      </w:r>
      <w:r w:rsidDel="00000000" w:rsidR="00000000" w:rsidRPr="00000000">
        <w:rPr>
          <w:rFonts w:ascii="Arial" w:cs="Arial" w:eastAsia="Arial" w:hAnsi="Arial"/>
          <w:i w:val="1"/>
          <w:iCs w:val="1"/>
          <w:color w:val="1f1f1f"/>
          <w:rtl w:val="0"/>
        </w:rPr>
        <w:t xml:space="preserve">domain shift</w:t>
      </w:r>
      <w:r w:rsidDel="00000000" w:rsidR="00000000" w:rsidRPr="00000000">
        <w:rPr>
          <w:rFonts w:ascii="Arial" w:cs="Arial" w:eastAsia="Arial" w:hAnsi="Arial"/>
          <w:color w:val="1f1f1f"/>
          <w:rtl w:val="0"/>
        </w:rPr>
        <w:t xml:space="preserve"> cuando el modelo se traslada a campos agrícolas reales, ya que se trabajó en condiciones relativamente controladas.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Para nuestro proyecto en Junín, este artículo subraya que, aunque la arquitectura es crucial, el protocolo de </w:t>
      </w:r>
      <w:r w:rsidDel="00000000" w:rsidR="00000000" w:rsidRPr="00000000">
        <w:rPr>
          <w:rFonts w:ascii="Arial" w:cs="Arial" w:eastAsia="Arial" w:hAnsi="Arial"/>
          <w:i w:val="1"/>
          <w:iCs w:val="1"/>
          <w:color w:val="1f1f1f"/>
          <w:rtl w:val="0"/>
        </w:rPr>
        <w:t xml:space="preserve">fine-tuning</w:t>
      </w:r>
      <w:r w:rsidDel="00000000" w:rsidR="00000000" w:rsidRPr="00000000">
        <w:rPr>
          <w:rFonts w:ascii="Arial" w:cs="Arial" w:eastAsia="Arial" w:hAnsi="Arial"/>
          <w:color w:val="1f1f1f"/>
          <w:rtl w:val="0"/>
        </w:rPr>
        <w:t xml:space="preserve"> lo es aún más. La crítica constructiva es que, aunque ofrecen una alta precisión, no profundizan en cómo la arquitectura se comportaría en dispositivos con limitaciones de red o hardware severas. Esto refuerza la necesidad de nuestro enfoque de microservicios: usar la arquitectura validada (ResNet/EfficientNet), pero encapsulándola de forma que el despliegue final sea eficiente, auditable y accesible para los agricultores de la Sierra Central, llevando el modelo de "alta precisión" a un "modelo de alta disponibilidad".</w:t>
      </w:r>
    </w:p>
    <w:p w:rsidR="00000000" w:rsidDel="00000000" w:rsidP="00000000" w:rsidRDefault="00000000" w:rsidRPr="00000000" w14:paraId="0000001E">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TaH4hiy+oN8S/gPeAzto53euqQ==">CgMxLjA4AHIhMWQ0NGt2aVNUbmtCVC1xNVFoZF9hTVhaNkYwNGQ5OHN0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