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Plantilla del Estado del Arte</w:t>
      </w:r>
    </w:p>
    <w:p w:rsidR="00000000" w:rsidDel="00000000" w:rsidP="00000000" w:rsidRDefault="00000000" w:rsidRPr="00000000" w14:paraId="00000002">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Author (s):</w:t>
      </w:r>
      <w:r w:rsidDel="00000000" w:rsidR="00000000" w:rsidRPr="00000000">
        <w:rPr>
          <w:rFonts w:ascii="Arial" w:cs="Arial" w:eastAsia="Arial" w:hAnsi="Arial"/>
          <w:color w:val="1f1f1f"/>
          <w:rtl w:val="0"/>
        </w:rPr>
        <w:t xml:space="preserve"> Konstantinos P. Ferentinos.</w:t>
      </w:r>
    </w:p>
    <w:p w:rsidR="00000000" w:rsidDel="00000000" w:rsidP="00000000" w:rsidRDefault="00000000" w:rsidRPr="00000000" w14:paraId="00000003">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Title of paper:</w:t>
      </w:r>
      <w:r w:rsidDel="00000000" w:rsidR="00000000" w:rsidRPr="00000000">
        <w:rPr>
          <w:rFonts w:ascii="Arial" w:cs="Arial" w:eastAsia="Arial" w:hAnsi="Arial"/>
          <w:color w:val="1f1f1f"/>
          <w:rtl w:val="0"/>
        </w:rPr>
        <w:t xml:space="preserve"> Deep Learning Models for Plant Disease Detection and Diagnosis.</w:t>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Journal:</w:t>
      </w:r>
      <w:r w:rsidDel="00000000" w:rsidR="00000000" w:rsidRPr="00000000">
        <w:rPr>
          <w:rFonts w:ascii="Arial" w:cs="Arial" w:eastAsia="Arial" w:hAnsi="Arial"/>
          <w:color w:val="1f1f1f"/>
          <w:rtl w:val="0"/>
        </w:rPr>
        <w:t xml:space="preserve"> Computers and Electronics in Agriculture.</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Volume (issue):</w:t>
      </w:r>
      <w:r w:rsidDel="00000000" w:rsidR="00000000" w:rsidRPr="00000000">
        <w:rPr>
          <w:rFonts w:ascii="Arial" w:cs="Arial" w:eastAsia="Arial" w:hAnsi="Arial"/>
          <w:color w:val="1f1f1f"/>
          <w:rtl w:val="0"/>
        </w:rPr>
        <w:t xml:space="preserve"> 145.</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pag – pag (year):</w:t>
      </w:r>
      <w:r w:rsidDel="00000000" w:rsidR="00000000" w:rsidRPr="00000000">
        <w:rPr>
          <w:rFonts w:ascii="Arial" w:cs="Arial" w:eastAsia="Arial" w:hAnsi="Arial"/>
          <w:color w:val="1f1f1f"/>
          <w:rtl w:val="0"/>
        </w:rPr>
        <w:t xml:space="preserve"> 311 – 318 (2018).</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line="276" w:lineRule="auto"/>
        <w:ind w:left="0" w:firstLine="0"/>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xbk3emhm5af" w:id="0"/>
      <w:bookmarkEnd w:id="0"/>
      <w:r w:rsidDel="00000000" w:rsidR="00000000" w:rsidRPr="00000000">
        <w:rPr>
          <w:rFonts w:ascii="Arial" w:cs="Arial" w:eastAsia="Arial" w:hAnsi="Arial"/>
          <w:color w:val="1f1f1f"/>
          <w:sz w:val="26"/>
          <w:szCs w:val="26"/>
          <w:rtl w:val="0"/>
        </w:rPr>
        <w:t xml:space="preserve">Estado del arte que hace el autor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autor enmarca el estado del arte en la transición desde los métodos tradicionales de procesamiento de imágenes hacia las arquitecturas de redes neuronales profundas (Deep Learning). Ferentinos documenta cómo los métodos clásicos dependían de la extracción manual de características (colores, formas, texturas) por parte de expertos, lo cual limitaba su capacidad de generalización en condiciones de campo reales. El autor reconoce que, aunque modelos como las máquinas de soporte vectorial (SVM) o las redes neuronales artificiales simples tuvieron éxito en entornos de laboratorio controlados, el estado del arte estaba demandando soluciones capaces de manejar la alta variabilidad de los entornos agrícolas sin intervención manual para el diseño de descriptores.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cz0ybi5k4z55" w:id="1"/>
      <w:bookmarkEnd w:id="1"/>
      <w:r w:rsidDel="00000000" w:rsidR="00000000" w:rsidRPr="00000000">
        <w:rPr>
          <w:rFonts w:ascii="Arial" w:cs="Arial" w:eastAsia="Arial" w:hAnsi="Arial"/>
          <w:color w:val="1f1f1f"/>
          <w:sz w:val="26"/>
          <w:szCs w:val="26"/>
          <w:rtl w:val="0"/>
        </w:rPr>
        <w:t xml:space="preserve">Motivación del autor (críticas del autor a otros trabajos)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motivación principal del autor es superar la dependencia de la intervención humana en la detección de enfermedades. Ferentinos critica implícitamente que muchos trabajos previos se limitaban a conjuntos de datos pequeños y condiciones de iluminación artificial, lo que impedía la escalabilidad de las soluciones. El autor busca demostrar que los modelos de Deep Learning no solo igualan, sino que superan la capacidad humana y de los métodos estadísticos tradicionales para clasificar enfermedades con precisión, incluso cuando las imágenes presentan ruido, desenfoque o condiciones de fondo complejas, motivado por la necesidad de una agricultura más eficiente y automatizada.</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e5e9ek8r3sk8" w:id="2"/>
      <w:bookmarkEnd w:id="2"/>
      <w:r w:rsidDel="00000000" w:rsidR="00000000" w:rsidRPr="00000000">
        <w:rPr>
          <w:rFonts w:ascii="Arial" w:cs="Arial" w:eastAsia="Arial" w:hAnsi="Arial"/>
          <w:color w:val="1f1f1f"/>
          <w:sz w:val="26"/>
          <w:szCs w:val="26"/>
          <w:rtl w:val="0"/>
        </w:rPr>
        <w:t xml:space="preserve">Descripción del aporte del autor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aporte fundamental es la aplicación y evaluación comparativa de arquitecturas de CNN (AlexNet, VGG, GoogleNet, etc.) para la detección de enfermedades en una amplia variedad de cultivos. El autor contribuye con:</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color w:val="1f1f1f"/>
          <w:rtl w:val="0"/>
        </w:rPr>
        <w:t xml:space="preserve">La validación de que el entrenamiento de modelos de Deep Learning desde cero o mediante técnicas de </w:t>
      </w:r>
      <w:r w:rsidDel="00000000" w:rsidR="00000000" w:rsidRPr="00000000">
        <w:rPr>
          <w:rFonts w:ascii="Arial" w:cs="Arial" w:eastAsia="Arial" w:hAnsi="Arial"/>
          <w:i w:val="1"/>
          <w:iCs w:val="1"/>
          <w:color w:val="1f1f1f"/>
          <w:rtl w:val="0"/>
        </w:rPr>
        <w:t xml:space="preserve">transfer learning</w:t>
      </w:r>
      <w:r w:rsidDel="00000000" w:rsidR="00000000" w:rsidRPr="00000000">
        <w:rPr>
          <w:rFonts w:ascii="Arial" w:cs="Arial" w:eastAsia="Arial" w:hAnsi="Arial"/>
          <w:color w:val="1f1f1f"/>
          <w:rtl w:val="0"/>
        </w:rPr>
        <w:t xml:space="preserve"> es altamente efectivo para el diagnóstico vegetal.</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color w:val="1f1f1f"/>
          <w:rtl w:val="0"/>
        </w:rPr>
        <w:t xml:space="preserve">La creación y entrenamiento con un conjunto de datos masivo (87,848 imágenes de hojas) que abarca múltiples enfermedades y especies, proporcionando una base empírica robusta para estudios posteriores.</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color w:val="1f1f1f"/>
          <w:rtl w:val="0"/>
        </w:rPr>
        <w:t xml:space="preserve">La demostración de que estas arquitecturas son capaces de aprender representaciones jerárquicas complejas, lo que permite un diagnóstico automático con tasas de precisión superiores al 99% en entornos de validación controlados.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5z165vg9t1bz" w:id="3"/>
      <w:bookmarkEnd w:id="3"/>
      <w:r w:rsidDel="00000000" w:rsidR="00000000" w:rsidRPr="00000000">
        <w:rPr>
          <w:rFonts w:ascii="Arial" w:cs="Arial" w:eastAsia="Arial" w:hAnsi="Arial"/>
          <w:color w:val="1f1f1f"/>
          <w:sz w:val="26"/>
          <w:szCs w:val="26"/>
          <w:rtl w:val="0"/>
        </w:rPr>
        <w:t xml:space="preserve">Proceso para obtener el aporte que considera el autor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Ferentinos utilizó un enfoque de experimentación empírica intensiva:</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Recolección de datos:</w:t>
      </w:r>
      <w:r w:rsidDel="00000000" w:rsidR="00000000" w:rsidRPr="00000000">
        <w:rPr>
          <w:rFonts w:ascii="Arial" w:cs="Arial" w:eastAsia="Arial" w:hAnsi="Arial"/>
          <w:color w:val="1f1f1f"/>
          <w:rtl w:val="0"/>
        </w:rPr>
        <w:t xml:space="preserve"> Compilación de un dataset extenso que incluyó 25 tipos de plantas y 58 clases de enfermedades.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Arquitecturas:</w:t>
      </w:r>
      <w:r w:rsidDel="00000000" w:rsidR="00000000" w:rsidRPr="00000000">
        <w:rPr>
          <w:rFonts w:ascii="Arial" w:cs="Arial" w:eastAsia="Arial" w:hAnsi="Arial"/>
          <w:color w:val="1f1f1f"/>
          <w:rtl w:val="0"/>
        </w:rPr>
        <w:t xml:space="preserve"> Se implementaron y compararon arquitecturas como AlexNet, VGGNet y GoogleNet, ajustando los hiperparámetros para optimizar la convergencia de la red.</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Entrenamiento:</w:t>
      </w:r>
      <w:r w:rsidDel="00000000" w:rsidR="00000000" w:rsidRPr="00000000">
        <w:rPr>
          <w:rFonts w:ascii="Arial" w:cs="Arial" w:eastAsia="Arial" w:hAnsi="Arial"/>
          <w:color w:val="1f1f1f"/>
          <w:rtl w:val="0"/>
        </w:rPr>
        <w:t xml:space="preserve"> Se realizaron múltiples iteraciones de entrenamiento, validación y prueba para garantizar que los modelos aprendieran patrones relevantes en lugar de memorizar el ruido de las imágenes.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dnp20ap0lwox" w:id="4"/>
      <w:bookmarkEnd w:id="4"/>
      <w:r w:rsidDel="00000000" w:rsidR="00000000" w:rsidRPr="00000000">
        <w:rPr>
          <w:rFonts w:ascii="Arial" w:cs="Arial" w:eastAsia="Arial" w:hAnsi="Arial"/>
          <w:color w:val="1f1f1f"/>
          <w:sz w:val="26"/>
          <w:szCs w:val="26"/>
          <w:rtl w:val="0"/>
        </w:rPr>
        <w:t xml:space="preserve">Proceso para resolver el problema considerado por el autor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autor resolvió el problema aplicando técnicas de visión por computadora avanzada. Implementó el entrenamiento de redes convolucionales (CNN) que realizan automáticamente la extracción de características, eliminando la necesidad de segmentación de color o forma predefinida. La resolución analítica se basó en el uso de funciones de pérdida (loss functions) y algoritmos de optimización (como gradiente descendente) para minimizar el error de clasificación a través de miles de épocas de entrenamiento.</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guyxdqbzpoey" w:id="5"/>
      <w:bookmarkEnd w:id="5"/>
      <w:r w:rsidDel="00000000" w:rsidR="00000000" w:rsidRPr="00000000">
        <w:rPr>
          <w:rFonts w:ascii="Arial" w:cs="Arial" w:eastAsia="Arial" w:hAnsi="Arial"/>
          <w:color w:val="1f1f1f"/>
          <w:sz w:val="26"/>
          <w:szCs w:val="26"/>
          <w:rtl w:val="0"/>
        </w:rPr>
        <w:t xml:space="preserve">Métricas que el autor usa y resultado que obtiene. Comentar</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Métricas:</w:t>
      </w:r>
      <w:r w:rsidDel="00000000" w:rsidR="00000000" w:rsidRPr="00000000">
        <w:rPr>
          <w:rFonts w:ascii="Arial" w:cs="Arial" w:eastAsia="Arial" w:hAnsi="Arial"/>
          <w:color w:val="1f1f1f"/>
          <w:rtl w:val="0"/>
        </w:rPr>
        <w:t xml:space="preserve"> El autor utiliza principalmente la </w:t>
      </w:r>
      <w:r w:rsidDel="00000000" w:rsidR="00000000" w:rsidRPr="00000000">
        <w:rPr>
          <w:rFonts w:ascii="Arial" w:cs="Arial" w:eastAsia="Arial" w:hAnsi="Arial"/>
          <w:b w:val="1"/>
          <w:bCs w:val="1"/>
          <w:color w:val="1f1f1f"/>
          <w:rtl w:val="0"/>
        </w:rPr>
        <w:t xml:space="preserve">Precisión (Accuracy)</w:t>
      </w:r>
      <w:r w:rsidDel="00000000" w:rsidR="00000000" w:rsidRPr="00000000">
        <w:rPr>
          <w:rFonts w:ascii="Arial" w:cs="Arial" w:eastAsia="Arial" w:hAnsi="Arial"/>
          <w:color w:val="1f1f1f"/>
          <w:rtl w:val="0"/>
        </w:rPr>
        <w:t xml:space="preserve"> del modelo en los conjuntos de datos de prueba.</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Resultados:</w:t>
      </w:r>
      <w:r w:rsidDel="00000000" w:rsidR="00000000" w:rsidRPr="00000000">
        <w:rPr>
          <w:rFonts w:ascii="Arial" w:cs="Arial" w:eastAsia="Arial" w:hAnsi="Arial"/>
          <w:color w:val="1f1f1f"/>
          <w:rtl w:val="0"/>
        </w:rPr>
        <w:t xml:space="preserve"> Se alcanzó una precisión de clasificación de hasta el </w:t>
      </w:r>
      <w:r w:rsidDel="00000000" w:rsidR="00000000" w:rsidRPr="00000000">
        <w:rPr>
          <w:rFonts w:ascii="Arial" w:cs="Arial" w:eastAsia="Arial" w:hAnsi="Arial"/>
          <w:b w:val="1"/>
          <w:bCs w:val="1"/>
          <w:color w:val="1f1f1f"/>
          <w:rtl w:val="0"/>
        </w:rPr>
        <w:t xml:space="preserve">99.53%</w:t>
      </w:r>
      <w:r w:rsidDel="00000000" w:rsidR="00000000" w:rsidRPr="00000000">
        <w:rPr>
          <w:rFonts w:ascii="Arial" w:cs="Arial" w:eastAsia="Arial" w:hAnsi="Arial"/>
          <w:color w:val="1f1f1f"/>
          <w:rtl w:val="0"/>
        </w:rPr>
        <w:t xml:space="preserve"> para el conjunto de datos de entrenamiento y una precisión muy alta en el conjunto de prueba.</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Comentarios:</w:t>
      </w:r>
      <w:r w:rsidDel="00000000" w:rsidR="00000000" w:rsidRPr="00000000">
        <w:rPr>
          <w:rFonts w:ascii="Arial" w:cs="Arial" w:eastAsia="Arial" w:hAnsi="Arial"/>
          <w:color w:val="1f1f1f"/>
          <w:rtl w:val="0"/>
        </w:rPr>
        <w:t xml:space="preserve"> Estos resultados validan que el Deep Learning es una herramienta disruptiva para la agricultura, estableciendo un nuevo estándar de rendimiento que supera significativamente los métodos tradicionales de extracción de características.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6b0s84bk0ao9" w:id="6"/>
      <w:bookmarkEnd w:id="6"/>
      <w:r w:rsidDel="00000000" w:rsidR="00000000" w:rsidRPr="00000000">
        <w:rPr>
          <w:rFonts w:ascii="Arial" w:cs="Arial" w:eastAsia="Arial" w:hAnsi="Arial"/>
          <w:color w:val="1f1f1f"/>
          <w:sz w:val="26"/>
          <w:szCs w:val="26"/>
          <w:rtl w:val="0"/>
        </w:rPr>
        <w:t xml:space="preserve">Observaciones y/o críticas suyas al artículo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artículo es una referencia obligada por la magnitud del dataset utilizado y su impacto en la literatura posterior. Sin embargo, desde una perspectiva crítica, aunque el autor demuestra una alta precisión, el estudio se beneficia de un conjunto de datos muy uniforme, lo que podría ocultar las dificultades que enfrentan estos modelos en condiciones de campo extremadamente degradadas (ej. oclusión severa por malezas o cambios climáticos drásticos). Además, el autor no profundiza en la complejidad computacional o el despliegue en dispositivos móviles, lo cual es una brecha que investigaciones posteriores de tu Grupo C han comenzado a resolver mediante el </w:t>
      </w:r>
      <w:r w:rsidDel="00000000" w:rsidR="00000000" w:rsidRPr="00000000">
        <w:rPr>
          <w:rFonts w:ascii="Arial" w:cs="Arial" w:eastAsia="Arial" w:hAnsi="Arial"/>
          <w:i w:val="1"/>
          <w:iCs w:val="1"/>
          <w:color w:val="1f1f1f"/>
          <w:rtl w:val="0"/>
        </w:rPr>
        <w:t xml:space="preserve">Edge AI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¿Deseas que procedamos con el siguiente artículo del Grupo A o prefieres que ajustemos algún punto de este formato?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rFonts w:ascii="Arial" w:cs="Arial" w:eastAsia="Arial" w:hAnsi="Arial"/>
          <w:b w:val="1"/>
          <w:bCs w:val="1"/>
          <w:color w:val="1f1f1f"/>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3Bryav2bNeo44F1nK/CA0+SoUw==">CgMxLjAyDWgueGJrM2VtaG01YWYyDmguY3oweWJpNWs0ejU1Mg5oLmU1ZTllazhyM3NrODIOaC41ejE2NXZnOXQxYnoyDmguZG5wMjBhcDBsd294Mg5oLmd1eXhkcWJ6cG9leTIOaC42YjBzODRiazBhbzk4AHIhMVY1MTJfVUE3NXJLRldLNjM0WElLS1NUTjRNYXNkcUdf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