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Plantilla del Estado del Arte</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Author (s):</w:t>
      </w:r>
      <w:r w:rsidDel="00000000" w:rsidR="00000000" w:rsidRPr="00000000">
        <w:rPr>
          <w:rFonts w:ascii="Arial" w:cs="Arial" w:eastAsia="Arial" w:hAnsi="Arial"/>
          <w:color w:val="1f1f1f"/>
          <w:rtl w:val="0"/>
        </w:rPr>
        <w:t xml:space="preserve"> S.H. Too, L. Li, S. Jin, P.R.K.S. Manda, J.J. Song.</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Title of paper:</w:t>
      </w:r>
      <w:r w:rsidDel="00000000" w:rsidR="00000000" w:rsidRPr="00000000">
        <w:rPr>
          <w:rFonts w:ascii="Arial" w:cs="Arial" w:eastAsia="Arial" w:hAnsi="Arial"/>
          <w:color w:val="1f1f1f"/>
          <w:rtl w:val="0"/>
        </w:rPr>
        <w:t xml:space="preserve"> A Comparative Study of Fine-Tuning Deep Learning Models for Plant Disease Identification.</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Journal:</w:t>
      </w:r>
      <w:r w:rsidDel="00000000" w:rsidR="00000000" w:rsidRPr="00000000">
        <w:rPr>
          <w:rFonts w:ascii="Arial" w:cs="Arial" w:eastAsia="Arial" w:hAnsi="Arial"/>
          <w:color w:val="1f1f1f"/>
          <w:rtl w:val="0"/>
        </w:rPr>
        <w:t xml:space="preserve"> Computers and Electronics in Agriculture.</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Volume (issue):</w:t>
      </w:r>
      <w:r w:rsidDel="00000000" w:rsidR="00000000" w:rsidRPr="00000000">
        <w:rPr>
          <w:rFonts w:ascii="Arial" w:cs="Arial" w:eastAsia="Arial" w:hAnsi="Arial"/>
          <w:color w:val="1f1f1f"/>
          <w:rtl w:val="0"/>
        </w:rPr>
        <w:t xml:space="preserve"> 161.</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pag – pag (year):</w:t>
      </w:r>
      <w:r w:rsidDel="00000000" w:rsidR="00000000" w:rsidRPr="00000000">
        <w:rPr>
          <w:rFonts w:ascii="Arial" w:cs="Arial" w:eastAsia="Arial" w:hAnsi="Arial"/>
          <w:color w:val="1f1f1f"/>
          <w:rtl w:val="0"/>
        </w:rPr>
        <w:t xml:space="preserve"> 80 – 89 (2019).</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line="276" w:lineRule="auto"/>
        <w:ind w:left="0" w:firstLine="0"/>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ha31dv16tmdy" w:id="0"/>
      <w:bookmarkEnd w:id="0"/>
      <w:r w:rsidDel="00000000" w:rsidR="00000000" w:rsidRPr="00000000">
        <w:rPr>
          <w:rFonts w:ascii="Arial" w:cs="Arial" w:eastAsia="Arial" w:hAnsi="Arial"/>
          <w:color w:val="1f1f1f"/>
          <w:sz w:val="26"/>
          <w:szCs w:val="26"/>
          <w:rtl w:val="0"/>
        </w:rPr>
        <w:t xml:space="preserve">Estado del arte que hace el autor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autores sitúan su investigación en el auge de las redes neuronales convolucionales (CNN) aplicadas al diagnóstico agrícola. El estado del arte que presentan subraya que, si bien la arquitectura original de las CNN demostró un potencial significativo, la comunidad científica comenzó a girar hacia el </w:t>
      </w:r>
      <w:r w:rsidDel="00000000" w:rsidR="00000000" w:rsidRPr="00000000">
        <w:rPr>
          <w:rFonts w:ascii="Arial" w:cs="Arial" w:eastAsia="Arial" w:hAnsi="Arial"/>
          <w:i w:val="1"/>
          <w:iCs w:val="1"/>
          <w:color w:val="1f1f1f"/>
          <w:rtl w:val="0"/>
        </w:rPr>
        <w:t xml:space="preserve">transfer learning</w:t>
      </w:r>
      <w:r w:rsidDel="00000000" w:rsidR="00000000" w:rsidRPr="00000000">
        <w:rPr>
          <w:rFonts w:ascii="Arial" w:cs="Arial" w:eastAsia="Arial" w:hAnsi="Arial"/>
          <w:color w:val="1f1f1f"/>
          <w:rtl w:val="0"/>
        </w:rPr>
        <w:t xml:space="preserve"> (aprendizaje por transferencia) para optimizar el rendimiento. Los autores documentan que la literatura previa, aunque extensa, a menudo carecía de una comparación exhaustiva entre diversas arquitecturas pre-entrenadas (como VGG16, ResNet50, InceptionV3 y DenseNet) bajo condiciones de entrenamiento unificadas, lo que dificultaba que los investigadores supieran cuál era el modelo más eficiente o preciso para tareas específicas de clasificación de enfermedades.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ox4moghjbc6q" w:id="1"/>
      <w:bookmarkEnd w:id="1"/>
      <w:r w:rsidDel="00000000" w:rsidR="00000000" w:rsidRPr="00000000">
        <w:rPr>
          <w:rFonts w:ascii="Arial" w:cs="Arial" w:eastAsia="Arial" w:hAnsi="Arial"/>
          <w:color w:val="1f1f1f"/>
          <w:sz w:val="26"/>
          <w:szCs w:val="26"/>
          <w:rtl w:val="0"/>
        </w:rPr>
        <w:t xml:space="preserve">Motivación del autor (críticas del autor a otros trabajos)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motivación principal nace de la necesidad de determinar qué modelo específico es el más robusto para la identificación de enfermedades. Los autores critican que muchos estudios anteriores presentan resultados aislados sin una comparativa inter-modelo rigurosa, lo que genera confusión sobre la superioridad de una arquitectura sobre otra. Critican, además, la falta de consenso sobre cómo el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(ajuste fino) de las capas profundas versus las capas superficiales afecta realmente la precisión final, motivándose a llenar este vacío técnico para optimizar los recursos computacionales y el tiempo de entrenamiento en aplicaciones agrícolas.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17ozp46qdcpw" w:id="2"/>
      <w:bookmarkEnd w:id="2"/>
      <w:r w:rsidDel="00000000" w:rsidR="00000000" w:rsidRPr="00000000">
        <w:rPr>
          <w:rFonts w:ascii="Arial" w:cs="Arial" w:eastAsia="Arial" w:hAnsi="Arial"/>
          <w:color w:val="1f1f1f"/>
          <w:sz w:val="26"/>
          <w:szCs w:val="26"/>
          <w:rtl w:val="0"/>
        </w:rPr>
        <w:t xml:space="preserve">Descripción del aporte del autor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aporte central de este estudio es una comparativa técnica y empírica de alto rigor sobre el comportamiento de múltiples arquitecturas de </w:t>
      </w:r>
      <w:r w:rsidDel="00000000" w:rsidR="00000000" w:rsidRPr="00000000">
        <w:rPr>
          <w:rFonts w:ascii="Arial" w:cs="Arial" w:eastAsia="Arial" w:hAnsi="Arial"/>
          <w:i w:val="1"/>
          <w:iCs w:val="1"/>
          <w:color w:val="1f1f1f"/>
          <w:rtl w:val="0"/>
        </w:rPr>
        <w:t xml:space="preserve">Deep Learning</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Evaluación comparativa:</w:t>
      </w:r>
      <w:r w:rsidDel="00000000" w:rsidR="00000000" w:rsidRPr="00000000">
        <w:rPr>
          <w:rFonts w:ascii="Arial" w:cs="Arial" w:eastAsia="Arial" w:hAnsi="Arial"/>
          <w:color w:val="1f1f1f"/>
          <w:rtl w:val="0"/>
        </w:rPr>
        <w:t xml:space="preserve"> Ofrecen una comparativa detallada entre arquitecturas de estado del arte (DenseNet, InceptionV3, ResNet50 y VGG16), analizando sus fortalezas y debilidades.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Optimización del </w:t>
      </w:r>
      <w:r w:rsidDel="00000000" w:rsidR="00000000" w:rsidRPr="00000000">
        <w:rPr>
          <w:rFonts w:ascii="Arial" w:cs="Arial" w:eastAsia="Arial" w:hAnsi="Arial"/>
          <w:b w:val="1"/>
          <w:bCs w:val="1"/>
          <w:i w:val="1"/>
          <w:iCs w:val="1"/>
          <w:color w:val="1f1f1f"/>
          <w:rtl w:val="0"/>
        </w:rPr>
        <w:t xml:space="preserve">Fine-Tuning</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Demuestran cómo la estrategia de descongelar diferentes bloques de capas afecta la capacidad de aprendizaje del modelo.</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Eficiencia:</w:t>
      </w:r>
      <w:r w:rsidDel="00000000" w:rsidR="00000000" w:rsidRPr="00000000">
        <w:rPr>
          <w:rFonts w:ascii="Arial" w:cs="Arial" w:eastAsia="Arial" w:hAnsi="Arial"/>
          <w:color w:val="1f1f1f"/>
          <w:rtl w:val="0"/>
        </w:rPr>
        <w:t xml:space="preserve"> El artículo proporciona evidencia de que modelos más ligeros o con arquitecturas más modernas pueden superar a modelos más pesados (como VGG16) tanto en precisión como en eficiencia, lo cual es vital para el desarrollo de herramientas de diagnóstico.</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8i3bkop5ijei" w:id="3"/>
      <w:bookmarkEnd w:id="3"/>
      <w:r w:rsidDel="00000000" w:rsidR="00000000" w:rsidRPr="00000000">
        <w:rPr>
          <w:rFonts w:ascii="Arial" w:cs="Arial" w:eastAsia="Arial" w:hAnsi="Arial"/>
          <w:color w:val="1f1f1f"/>
          <w:sz w:val="26"/>
          <w:szCs w:val="26"/>
          <w:rtl w:val="0"/>
        </w:rPr>
        <w:t xml:space="preserve">Proceso para obtener el aporte que considera el autor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autores llevaron a cabo un proceso experimental estructurado:</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Preparación:</w:t>
      </w:r>
      <w:r w:rsidDel="00000000" w:rsidR="00000000" w:rsidRPr="00000000">
        <w:rPr>
          <w:rFonts w:ascii="Arial" w:cs="Arial" w:eastAsia="Arial" w:hAnsi="Arial"/>
          <w:color w:val="1f1f1f"/>
          <w:rtl w:val="0"/>
        </w:rPr>
        <w:t xml:space="preserve"> Utilizaron el dataset de PlantVillage, preprocesando las imágenes para asegurar la comparabilidad.</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Arquitectura:</w:t>
      </w:r>
      <w:r w:rsidDel="00000000" w:rsidR="00000000" w:rsidRPr="00000000">
        <w:rPr>
          <w:rFonts w:ascii="Arial" w:cs="Arial" w:eastAsia="Arial" w:hAnsi="Arial"/>
          <w:color w:val="1f1f1f"/>
          <w:rtl w:val="0"/>
        </w:rPr>
        <w:t xml:space="preserve"> Implementaron técnicas de </w:t>
      </w:r>
      <w:r w:rsidDel="00000000" w:rsidR="00000000" w:rsidRPr="00000000">
        <w:rPr>
          <w:rFonts w:ascii="Arial" w:cs="Arial" w:eastAsia="Arial" w:hAnsi="Arial"/>
          <w:i w:val="1"/>
          <w:iCs w:val="1"/>
          <w:color w:val="1f1f1f"/>
          <w:rtl w:val="0"/>
        </w:rPr>
        <w:t xml:space="preserve">transfer learning</w:t>
      </w:r>
      <w:r w:rsidDel="00000000" w:rsidR="00000000" w:rsidRPr="00000000">
        <w:rPr>
          <w:rFonts w:ascii="Arial" w:cs="Arial" w:eastAsia="Arial" w:hAnsi="Arial"/>
          <w:color w:val="1f1f1f"/>
          <w:rtl w:val="0"/>
        </w:rPr>
        <w:t xml:space="preserve">, cargando pesos pre-entrenados de ImageNet en los cuatro modelos seleccionados.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Ajuste:</w:t>
      </w:r>
      <w:r w:rsidDel="00000000" w:rsidR="00000000" w:rsidRPr="00000000">
        <w:rPr>
          <w:rFonts w:ascii="Arial" w:cs="Arial" w:eastAsia="Arial" w:hAnsi="Arial"/>
          <w:color w:val="1f1f1f"/>
          <w:rtl w:val="0"/>
        </w:rPr>
        <w:t xml:space="preserve"> Aplicaron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sistemático, ajustando las capas finales de cada red para adaptarlas a las clases de enfermedades vegetales.</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n52zcsgqjo5n" w:id="4"/>
      <w:bookmarkEnd w:id="4"/>
      <w:r w:rsidDel="00000000" w:rsidR="00000000" w:rsidRPr="00000000">
        <w:rPr>
          <w:rFonts w:ascii="Arial" w:cs="Arial" w:eastAsia="Arial" w:hAnsi="Arial"/>
          <w:color w:val="1f1f1f"/>
          <w:sz w:val="26"/>
          <w:szCs w:val="26"/>
          <w:rtl w:val="0"/>
        </w:rPr>
        <w:t xml:space="preserve">Proceso para resolver el problema considerado por el autor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resolución del problema se basó en el diseño de una metodología de evaluación donde todos los modelos fueron entrenados bajo los mismos hiperparámetros y condiciones de validación cruzada. Al mantener constantes las variables de entrenamiento (como el </w:t>
      </w:r>
      <w:r w:rsidDel="00000000" w:rsidR="00000000" w:rsidRPr="00000000">
        <w:rPr>
          <w:rFonts w:ascii="Arial" w:cs="Arial" w:eastAsia="Arial" w:hAnsi="Arial"/>
          <w:i w:val="1"/>
          <w:iCs w:val="1"/>
          <w:color w:val="1f1f1f"/>
          <w:rtl w:val="0"/>
        </w:rPr>
        <w:t xml:space="preserve">learning rate</w:t>
      </w:r>
      <w:r w:rsidDel="00000000" w:rsidR="00000000" w:rsidRPr="00000000">
        <w:rPr>
          <w:rFonts w:ascii="Arial" w:cs="Arial" w:eastAsia="Arial" w:hAnsi="Arial"/>
          <w:color w:val="1f1f1f"/>
          <w:rtl w:val="0"/>
        </w:rPr>
        <w:t xml:space="preserve"> y el número de épocas), pudieron aislar la variable del "desempeño de la arquitectura", permitiendo una resolución analítica limpia sobre cuál modelo es más eficaz para el diagnóstico.</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1qmwfw47byqs" w:id="5"/>
      <w:bookmarkEnd w:id="5"/>
      <w:r w:rsidDel="00000000" w:rsidR="00000000" w:rsidRPr="00000000">
        <w:rPr>
          <w:rFonts w:ascii="Arial" w:cs="Arial" w:eastAsia="Arial" w:hAnsi="Arial"/>
          <w:color w:val="1f1f1f"/>
          <w:sz w:val="26"/>
          <w:szCs w:val="26"/>
          <w:rtl w:val="0"/>
        </w:rPr>
        <w:t xml:space="preserve">Métricas que el autor usa y resultado que obtiene. Comentar</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Métricas:</w:t>
      </w:r>
      <w:r w:rsidDel="00000000" w:rsidR="00000000" w:rsidRPr="00000000">
        <w:rPr>
          <w:rFonts w:ascii="Arial" w:cs="Arial" w:eastAsia="Arial" w:hAnsi="Arial"/>
          <w:color w:val="1f1f1f"/>
          <w:rtl w:val="0"/>
        </w:rPr>
        <w:t xml:space="preserve"> Los autores utilizaron principalmente </w:t>
      </w:r>
      <w:r w:rsidDel="00000000" w:rsidR="00000000" w:rsidRPr="00000000">
        <w:rPr>
          <w:rFonts w:ascii="Arial" w:cs="Arial" w:eastAsia="Arial" w:hAnsi="Arial"/>
          <w:b w:val="1"/>
          <w:bCs w:val="1"/>
          <w:color w:val="1f1f1f"/>
          <w:rtl w:val="0"/>
        </w:rPr>
        <w:t xml:space="preserve">Precisión (Accuracy)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Recall</w:t>
      </w:r>
      <w:r w:rsidDel="00000000" w:rsidR="00000000" w:rsidRPr="00000000">
        <w:rPr>
          <w:rFonts w:ascii="Arial" w:cs="Arial" w:eastAsia="Arial" w:hAnsi="Arial"/>
          <w:color w:val="1f1f1f"/>
          <w:rtl w:val="0"/>
        </w:rPr>
        <w:t xml:space="preserve"> y </w:t>
      </w:r>
      <w:r w:rsidDel="00000000" w:rsidR="00000000" w:rsidRPr="00000000">
        <w:rPr>
          <w:rFonts w:ascii="Arial" w:cs="Arial" w:eastAsia="Arial" w:hAnsi="Arial"/>
          <w:b w:val="1"/>
          <w:bCs w:val="1"/>
          <w:color w:val="1f1f1f"/>
          <w:rtl w:val="0"/>
        </w:rPr>
        <w:t xml:space="preserve">F1-Score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Resultados:</w:t>
      </w:r>
      <w:r w:rsidDel="00000000" w:rsidR="00000000" w:rsidRPr="00000000">
        <w:rPr>
          <w:rFonts w:ascii="Arial" w:cs="Arial" w:eastAsia="Arial" w:hAnsi="Arial"/>
          <w:color w:val="1f1f1f"/>
          <w:rtl w:val="0"/>
        </w:rPr>
        <w:t xml:space="preserve"> DenseNet-121 destacó como uno de los modelos más eficaces, mostrando una capacidad superior para aprender características discriminativas con menos parámetros que VGG16.</w:t>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Comentarios:</w:t>
      </w:r>
      <w:r w:rsidDel="00000000" w:rsidR="00000000" w:rsidRPr="00000000">
        <w:rPr>
          <w:rFonts w:ascii="Arial" w:cs="Arial" w:eastAsia="Arial" w:hAnsi="Arial"/>
          <w:color w:val="1f1f1f"/>
          <w:rtl w:val="0"/>
        </w:rPr>
        <w:t xml:space="preserve"> El estudio es fundamental porque marca un punto de inflexión en la literatura, al demostrar que no siempre el modelo con más capas es el mejor; la eficiencia de la arquitectura importa tanto como la tasa de acierto, especialmente para futuras implementaciones en dispositivos portátiles.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aheql8twro5" w:id="6"/>
      <w:bookmarkEnd w:id="6"/>
      <w:r w:rsidDel="00000000" w:rsidR="00000000" w:rsidRPr="00000000">
        <w:rPr>
          <w:rFonts w:ascii="Arial" w:cs="Arial" w:eastAsia="Arial" w:hAnsi="Arial"/>
          <w:color w:val="1f1f1f"/>
          <w:sz w:val="26"/>
          <w:szCs w:val="26"/>
          <w:rtl w:val="0"/>
        </w:rPr>
        <w:t xml:space="preserve">Observaciones y/o críticas suyas al artículo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Es un estudio excepcionalmente útil por su naturaleza comparativa; sin embargo, una crítica necesaria es que el estudio se limita exclusivamente al dataset de PlantVillage. Aunque esto permite una comparativa justa, los resultados podrían variar significativamente si se evaluaran en condiciones de campo "en la vida real" (con luz natural variable o follaje complejo), donde las arquitecturas podrían comportarse de manera distinta. Además, el estudio es pre-Vision Transformers, por lo que su aporte es una referencia excelente para entender la era del dominio de las CNN antes de la irrupción de las tecnologías del Grupo C.</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¿Deseas que continuemos con el </w:t>
      </w:r>
      <w:r w:rsidDel="00000000" w:rsidR="00000000" w:rsidRPr="00000000">
        <w:rPr>
          <w:rFonts w:ascii="Arial" w:cs="Arial" w:eastAsia="Arial" w:hAnsi="Arial"/>
          <w:b w:val="1"/>
          <w:bCs w:val="1"/>
          <w:color w:val="1f1f1f"/>
          <w:rtl w:val="0"/>
        </w:rPr>
        <w:t xml:space="preserve">Artículo 8</w:t>
      </w:r>
      <w:r w:rsidDel="00000000" w:rsidR="00000000" w:rsidRPr="00000000">
        <w:rPr>
          <w:rFonts w:ascii="Arial" w:cs="Arial" w:eastAsia="Arial" w:hAnsi="Arial"/>
          <w:color w:val="1f1f1f"/>
          <w:rtl w:val="0"/>
        </w:rPr>
        <w:t xml:space="preserve"> (Picon et al., 2019) o prefieres gestionar otra parte de tu tesis?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b w:val="1"/>
          <w:bCs w:val="1"/>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Z/xNoLm8KEIY7oS58Nc8pIAEQ==">CgMxLjAyDmguaGEzMWR2MTZ0bWR5Mg5oLm94NG1vZ2hqYmM2cTIOaC4xN296cDQ2cWRjcHcyDmguOGkzYmtvcDVpamVpMg5oLm41Mnpjc2dxam81bjIOaC4xcW13Znc0N2J5cXMyDWguYWhlcWw4dHdybzU4AHIhMXFNRVZPUmlQSkcyRzB5aVRnVzhLNVdmRW40dGw0TXly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