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40" w:before="240" w:lineRule="auto"/>
        <w:jc w:val="both"/>
        <w:rPr>
          <w:b w:val="1"/>
          <w:bCs w:val="1"/>
          <w:sz w:val="24"/>
          <w:szCs w:val="24"/>
        </w:rPr>
      </w:pPr>
      <w:r w:rsidDel="00000000" w:rsidR="00000000" w:rsidRPr="00000000">
        <w:rPr>
          <w:b w:val="1"/>
          <w:bCs w:val="1"/>
          <w:sz w:val="24"/>
          <w:szCs w:val="24"/>
          <w:rtl w:val="0"/>
        </w:rPr>
        <w:t xml:space="preserve">Plantilla del Estado del Arte</w:t>
      </w:r>
    </w:p>
    <w:p w:rsidR="00000000" w:rsidDel="00000000" w:rsidP="00000000" w:rsidRDefault="00000000" w:rsidRPr="00000000" w14:paraId="00000002">
      <w:pPr>
        <w:widowControl w:val="1"/>
        <w:spacing w:after="240" w:before="240" w:lineRule="auto"/>
        <w:jc w:val="both"/>
        <w:rPr>
          <w:sz w:val="24"/>
          <w:szCs w:val="24"/>
        </w:rPr>
      </w:pPr>
      <w:r w:rsidDel="00000000" w:rsidR="00000000" w:rsidRPr="00000000">
        <w:rPr>
          <w:b w:val="1"/>
          <w:bCs w:val="1"/>
          <w:sz w:val="24"/>
          <w:szCs w:val="24"/>
          <w:rtl w:val="0"/>
        </w:rPr>
        <w:t xml:space="preserve">Author (s):</w:t>
      </w:r>
      <w:r w:rsidDel="00000000" w:rsidR="00000000" w:rsidRPr="00000000">
        <w:rPr>
          <w:sz w:val="24"/>
          <w:szCs w:val="24"/>
          <w:rtl w:val="0"/>
        </w:rPr>
        <w:t xml:space="preserve"> Konstantinos G. Liakos, Patrizia Busato, Dimitrios Moshou, Simon Pearson y Dionysis Bochtis.</w:t>
      </w:r>
    </w:p>
    <w:p w:rsidR="00000000" w:rsidDel="00000000" w:rsidP="00000000" w:rsidRDefault="00000000" w:rsidRPr="00000000" w14:paraId="00000003">
      <w:pPr>
        <w:widowControl w:val="1"/>
        <w:spacing w:after="240" w:before="240" w:lineRule="auto"/>
        <w:jc w:val="both"/>
        <w:rPr>
          <w:sz w:val="24"/>
          <w:szCs w:val="24"/>
        </w:rPr>
      </w:pPr>
      <w:r w:rsidDel="00000000" w:rsidR="00000000" w:rsidRPr="00000000">
        <w:rPr>
          <w:b w:val="1"/>
          <w:bCs w:val="1"/>
          <w:sz w:val="24"/>
          <w:szCs w:val="24"/>
          <w:rtl w:val="0"/>
        </w:rPr>
        <w:t xml:space="preserve">Title of paper:</w:t>
      </w:r>
      <w:r w:rsidDel="00000000" w:rsidR="00000000" w:rsidRPr="00000000">
        <w:rPr>
          <w:sz w:val="24"/>
          <w:szCs w:val="24"/>
          <w:rtl w:val="0"/>
        </w:rPr>
        <w:t xml:space="preserve"> Machine Learning in Agriculture: A Review.</w:t>
      </w:r>
    </w:p>
    <w:p w:rsidR="00000000" w:rsidDel="00000000" w:rsidP="00000000" w:rsidRDefault="00000000" w:rsidRPr="00000000" w14:paraId="00000004">
      <w:pPr>
        <w:widowControl w:val="1"/>
        <w:spacing w:after="240" w:before="240" w:lineRule="auto"/>
        <w:jc w:val="both"/>
        <w:rPr>
          <w:sz w:val="24"/>
          <w:szCs w:val="24"/>
        </w:rPr>
      </w:pPr>
      <w:r w:rsidDel="00000000" w:rsidR="00000000" w:rsidRPr="00000000">
        <w:rPr>
          <w:b w:val="1"/>
          <w:bCs w:val="1"/>
          <w:sz w:val="24"/>
          <w:szCs w:val="24"/>
          <w:rtl w:val="0"/>
        </w:rPr>
        <w:t xml:space="preserve">Journal:</w:t>
      </w:r>
      <w:r w:rsidDel="00000000" w:rsidR="00000000" w:rsidRPr="00000000">
        <w:rPr>
          <w:sz w:val="24"/>
          <w:szCs w:val="24"/>
          <w:rtl w:val="0"/>
        </w:rPr>
        <w:t xml:space="preserve"> Sensors.</w:t>
      </w:r>
    </w:p>
    <w:p w:rsidR="00000000" w:rsidDel="00000000" w:rsidP="00000000" w:rsidRDefault="00000000" w:rsidRPr="00000000" w14:paraId="00000005">
      <w:pPr>
        <w:widowControl w:val="1"/>
        <w:spacing w:after="240" w:before="240" w:lineRule="auto"/>
        <w:jc w:val="both"/>
        <w:rPr>
          <w:sz w:val="24"/>
          <w:szCs w:val="24"/>
        </w:rPr>
      </w:pPr>
      <w:r w:rsidDel="00000000" w:rsidR="00000000" w:rsidRPr="00000000">
        <w:rPr>
          <w:b w:val="1"/>
          <w:bCs w:val="1"/>
          <w:sz w:val="24"/>
          <w:szCs w:val="24"/>
          <w:rtl w:val="0"/>
        </w:rPr>
        <w:t xml:space="preserve">Volume (issue):</w:t>
      </w:r>
      <w:r w:rsidDel="00000000" w:rsidR="00000000" w:rsidRPr="00000000">
        <w:rPr>
          <w:sz w:val="24"/>
          <w:szCs w:val="24"/>
          <w:rtl w:val="0"/>
        </w:rPr>
        <w:t xml:space="preserve"> 18 (8).</w:t>
      </w:r>
    </w:p>
    <w:p w:rsidR="00000000" w:rsidDel="00000000" w:rsidP="00000000" w:rsidRDefault="00000000" w:rsidRPr="00000000" w14:paraId="00000006">
      <w:pPr>
        <w:widowControl w:val="1"/>
        <w:spacing w:after="240" w:before="240" w:lineRule="auto"/>
        <w:jc w:val="both"/>
        <w:rPr>
          <w:sz w:val="24"/>
          <w:szCs w:val="24"/>
        </w:rPr>
      </w:pPr>
      <w:r w:rsidDel="00000000" w:rsidR="00000000" w:rsidRPr="00000000">
        <w:rPr>
          <w:b w:val="1"/>
          <w:bCs w:val="1"/>
          <w:sz w:val="24"/>
          <w:szCs w:val="24"/>
          <w:rtl w:val="0"/>
        </w:rPr>
        <w:t xml:space="preserve">pag – pag (year):</w:t>
      </w:r>
      <w:r w:rsidDel="00000000" w:rsidR="00000000" w:rsidRPr="00000000">
        <w:rPr>
          <w:sz w:val="24"/>
          <w:szCs w:val="24"/>
          <w:rtl w:val="0"/>
        </w:rPr>
        <w:t xml:space="preserve"> 2674 (2018).</w:t>
      </w:r>
    </w:p>
    <w:p w:rsidR="00000000" w:rsidDel="00000000" w:rsidP="00000000" w:rsidRDefault="00000000" w:rsidRPr="00000000" w14:paraId="00000007">
      <w:pPr>
        <w:pStyle w:val="Heading3"/>
        <w:keepNext w:val="0"/>
        <w:keepLines w:val="0"/>
        <w:widowControl w:val="1"/>
        <w:jc w:val="both"/>
        <w:rPr>
          <w:sz w:val="26"/>
          <w:szCs w:val="26"/>
        </w:rPr>
      </w:pPr>
      <w:bookmarkStart w:colFirst="0" w:colLast="0" w:name="_heading=h.i4rgggbd8a8w" w:id="0"/>
      <w:bookmarkEnd w:id="0"/>
      <w:r w:rsidDel="00000000" w:rsidR="00000000" w:rsidRPr="00000000">
        <w:rPr>
          <w:sz w:val="26"/>
          <w:szCs w:val="26"/>
          <w:rtl w:val="0"/>
        </w:rPr>
        <w:t xml:space="preserve">Estado del arte que hace el autor</w:t>
      </w:r>
    </w:p>
    <w:p w:rsidR="00000000" w:rsidDel="00000000" w:rsidP="00000000" w:rsidRDefault="00000000" w:rsidRPr="00000000" w14:paraId="00000008">
      <w:pPr>
        <w:widowControl w:val="1"/>
        <w:spacing w:after="240" w:before="240" w:lineRule="auto"/>
        <w:jc w:val="both"/>
        <w:rPr>
          <w:sz w:val="24"/>
          <w:szCs w:val="24"/>
        </w:rPr>
      </w:pPr>
      <w:r w:rsidDel="00000000" w:rsidR="00000000" w:rsidRPr="00000000">
        <w:rPr>
          <w:sz w:val="24"/>
          <w:szCs w:val="24"/>
          <w:rtl w:val="0"/>
        </w:rPr>
        <w:t xml:space="preserve">Los autores presentan el estado del arte del aprendizaje automático aplicado a la agricultura, destacando el rápido crecimiento de las tecnologías de inteligencia artificial como respuesta a la necesidad de incrementar la productividad agrícola y optimizar la gestión de los recursos naturales. La revisión evidencia que el desarrollo de sensores, drones, imágenes satelitales, sistemas GPS e Internet de las Cosas (IoT) ha generado grandes volúmenes de datos agrícolas que requieren técnicas avanzadas de análisis. En este contexto, los autores describen cómo los algoritmos de Machine Learning comenzaron a reemplazar gradualmente los métodos estadísticos tradicionales para resolver problemas relacionados con la detección de enfermedades, identificación de malezas, predicción del rendimiento de cultivos, clasificación de suelos, monitoreo del crecimiento vegetal y agricultura de precisión. Asimismo, destacan que las Redes Neuronales Artificiales, las Máquinas de Vectores de Soporte y los Bosques Aleatorios eran los algoritmos más utilizados antes de la consolidación del aprendizaje profundo.</w:t>
      </w:r>
    </w:p>
    <w:p w:rsidR="00000000" w:rsidDel="00000000" w:rsidP="00000000" w:rsidRDefault="00000000" w:rsidRPr="00000000" w14:paraId="00000009">
      <w:pPr>
        <w:pStyle w:val="Heading3"/>
        <w:keepNext w:val="0"/>
        <w:keepLines w:val="0"/>
        <w:widowControl w:val="1"/>
        <w:jc w:val="both"/>
        <w:rPr>
          <w:sz w:val="26"/>
          <w:szCs w:val="26"/>
        </w:rPr>
      </w:pPr>
      <w:bookmarkStart w:colFirst="0" w:colLast="0" w:name="_heading=h.pzjnq4onikk7" w:id="1"/>
      <w:bookmarkEnd w:id="1"/>
      <w:r w:rsidDel="00000000" w:rsidR="00000000" w:rsidRPr="00000000">
        <w:rPr>
          <w:sz w:val="26"/>
          <w:szCs w:val="26"/>
          <w:rtl w:val="0"/>
        </w:rPr>
        <w:t xml:space="preserve">Motivación del autor (críticas del autor a otros trabajos)</w:t>
      </w:r>
    </w:p>
    <w:p w:rsidR="00000000" w:rsidDel="00000000" w:rsidP="00000000" w:rsidRDefault="00000000" w:rsidRPr="00000000" w14:paraId="0000000A">
      <w:pPr>
        <w:widowControl w:val="1"/>
        <w:spacing w:after="240" w:before="240" w:lineRule="auto"/>
        <w:jc w:val="both"/>
        <w:rPr>
          <w:sz w:val="24"/>
          <w:szCs w:val="24"/>
        </w:rPr>
      </w:pPr>
      <w:r w:rsidDel="00000000" w:rsidR="00000000" w:rsidRPr="00000000">
        <w:rPr>
          <w:sz w:val="24"/>
          <w:szCs w:val="24"/>
          <w:rtl w:val="0"/>
        </w:rPr>
        <w:t xml:space="preserve">La motivación principal del estudio consiste en organizar el conocimiento existente sobre las aplicaciones del aprendizaje automático en la agricultura y analizar las limitaciones presentes en las investigaciones desarrolladas hasta ese momento. Los autores critican que gran parte de los estudios se enfocaban únicamente en resolver problemas específicos sin ofrecer una visión integrada del potencial del Machine Learning en todo el sector agrícola. Además, señalan que muchos trabajos utilizaban conjuntos de datos reducidos y metodologías experimentales diferentes, dificultando la comparación objetiva entre algoritmos. También destacan la necesidad de incrementar la disponibilidad de datos agrícolas de alta calidad y promover el desarrollo de modelos capaces de adaptarse a diferentes condiciones ambientales y tipos de cultivo.</w:t>
      </w:r>
    </w:p>
    <w:p w:rsidR="00000000" w:rsidDel="00000000" w:rsidP="00000000" w:rsidRDefault="00000000" w:rsidRPr="00000000" w14:paraId="0000000B">
      <w:pPr>
        <w:pStyle w:val="Heading3"/>
        <w:keepNext w:val="0"/>
        <w:keepLines w:val="0"/>
        <w:widowControl w:val="1"/>
        <w:jc w:val="both"/>
        <w:rPr>
          <w:sz w:val="26"/>
          <w:szCs w:val="26"/>
        </w:rPr>
      </w:pPr>
      <w:bookmarkStart w:colFirst="0" w:colLast="0" w:name="_heading=h.jpzmz5ts505z" w:id="2"/>
      <w:bookmarkEnd w:id="2"/>
      <w:r w:rsidDel="00000000" w:rsidR="00000000" w:rsidRPr="00000000">
        <w:rPr>
          <w:sz w:val="26"/>
          <w:szCs w:val="26"/>
          <w:rtl w:val="0"/>
        </w:rPr>
        <w:t xml:space="preserve">Descripción del aporte del autor</w:t>
      </w:r>
    </w:p>
    <w:p w:rsidR="00000000" w:rsidDel="00000000" w:rsidP="00000000" w:rsidRDefault="00000000" w:rsidRPr="00000000" w14:paraId="0000000C">
      <w:pPr>
        <w:widowControl w:val="1"/>
        <w:spacing w:after="240" w:before="240" w:lineRule="auto"/>
        <w:jc w:val="both"/>
        <w:rPr>
          <w:sz w:val="24"/>
          <w:szCs w:val="24"/>
        </w:rPr>
      </w:pPr>
      <w:r w:rsidDel="00000000" w:rsidR="00000000" w:rsidRPr="00000000">
        <w:rPr>
          <w:sz w:val="24"/>
          <w:szCs w:val="24"/>
          <w:rtl w:val="0"/>
        </w:rPr>
        <w:t xml:space="preserve">El principal aporte del artículo consiste en presentar una revisión integral sobre las aplicaciones del aprendizaje automático en la agricultura moderna. Los autores clasifican las investigaciones según las principales áreas de aplicación, incluyendo agricultura de precisión, detección de enfermedades vegetales, clasificación de cultivos, predicción del rendimiento agrícola, gestión del agua, monitoreo ambiental y automatización de procesos agrícolas. Asimismo, comparan los algoritmos más utilizados, analizando sus ventajas, limitaciones y escenarios de aplicación. El estudio proporciona una visión global del impacto del Machine Learning en la transformación digital de la agricultura y establece diversas líneas de investigación para el desarrollo de sistemas inteligentes más robustos y eficientes.</w:t>
      </w:r>
    </w:p>
    <w:p w:rsidR="00000000" w:rsidDel="00000000" w:rsidP="00000000" w:rsidRDefault="00000000" w:rsidRPr="00000000" w14:paraId="0000000D">
      <w:pPr>
        <w:pStyle w:val="Heading3"/>
        <w:keepNext w:val="0"/>
        <w:keepLines w:val="0"/>
        <w:widowControl w:val="1"/>
        <w:jc w:val="both"/>
        <w:rPr>
          <w:sz w:val="26"/>
          <w:szCs w:val="26"/>
        </w:rPr>
      </w:pPr>
      <w:bookmarkStart w:colFirst="0" w:colLast="0" w:name="_heading=h.7v5jo2b7htoc" w:id="3"/>
      <w:bookmarkEnd w:id="3"/>
      <w:r w:rsidDel="00000000" w:rsidR="00000000" w:rsidRPr="00000000">
        <w:rPr>
          <w:sz w:val="26"/>
          <w:szCs w:val="26"/>
          <w:rtl w:val="0"/>
        </w:rPr>
        <w:t xml:space="preserve">Proceso para obtener el aporte que considera el autor</w:t>
      </w:r>
    </w:p>
    <w:p w:rsidR="00000000" w:rsidDel="00000000" w:rsidP="00000000" w:rsidRDefault="00000000" w:rsidRPr="00000000" w14:paraId="0000000E">
      <w:pPr>
        <w:widowControl w:val="1"/>
        <w:spacing w:after="240" w:before="240" w:lineRule="auto"/>
        <w:jc w:val="both"/>
        <w:rPr>
          <w:sz w:val="24"/>
          <w:szCs w:val="24"/>
        </w:rPr>
      </w:pPr>
      <w:r w:rsidDel="00000000" w:rsidR="00000000" w:rsidRPr="00000000">
        <w:rPr>
          <w:sz w:val="24"/>
          <w:szCs w:val="24"/>
          <w:rtl w:val="0"/>
        </w:rPr>
        <w:t xml:space="preserve">Los autores desarrollaron una revisión sistemática de investigaciones publicadas en revistas científicas relacionadas con inteligencia artificial, agricultura de precisión y aprendizaje automático. Posteriormente clasificaron cada estudio según el problema agrícola abordado, el tipo de datos utilizados, el algoritmo implementado y los resultados obtenidos. Finalmente, realizaron un análisis comparativo que permitió identificar las principales tendencias tecnológicas, los algoritmos con mejor desempeño y las oportunidades de investigación existentes para futuras aplicaciones agrícolas basadas en inteligencia artificial.</w:t>
      </w:r>
    </w:p>
    <w:p w:rsidR="00000000" w:rsidDel="00000000" w:rsidP="00000000" w:rsidRDefault="00000000" w:rsidRPr="00000000" w14:paraId="0000000F">
      <w:pPr>
        <w:pStyle w:val="Heading3"/>
        <w:keepNext w:val="0"/>
        <w:keepLines w:val="0"/>
        <w:widowControl w:val="1"/>
        <w:jc w:val="both"/>
        <w:rPr>
          <w:sz w:val="26"/>
          <w:szCs w:val="26"/>
        </w:rPr>
      </w:pPr>
      <w:bookmarkStart w:colFirst="0" w:colLast="0" w:name="_heading=h.l0u1ko5s5zz3" w:id="4"/>
      <w:bookmarkEnd w:id="4"/>
      <w:r w:rsidDel="00000000" w:rsidR="00000000" w:rsidRPr="00000000">
        <w:rPr>
          <w:sz w:val="26"/>
          <w:szCs w:val="26"/>
          <w:rtl w:val="0"/>
        </w:rPr>
        <w:t xml:space="preserve">Proceso para resolver el problema considerado por el autor</w:t>
      </w:r>
    </w:p>
    <w:p w:rsidR="00000000" w:rsidDel="00000000" w:rsidP="00000000" w:rsidRDefault="00000000" w:rsidRPr="00000000" w14:paraId="00000010">
      <w:pPr>
        <w:widowControl w:val="1"/>
        <w:spacing w:after="240" w:before="240" w:lineRule="auto"/>
        <w:jc w:val="both"/>
        <w:rPr>
          <w:sz w:val="24"/>
          <w:szCs w:val="24"/>
        </w:rPr>
      </w:pPr>
      <w:r w:rsidDel="00000000" w:rsidR="00000000" w:rsidRPr="00000000">
        <w:rPr>
          <w:sz w:val="24"/>
          <w:szCs w:val="24"/>
          <w:rtl w:val="0"/>
        </w:rPr>
        <w:t xml:space="preserve">El artículo resuelve el problema mediante una síntesis estructurada del conocimiento científico disponible sobre Machine Learning aplicado a la agricultura. En lugar de proponer un nuevo modelo computacional, los autores organizan las investigaciones existentes para identificar las tecnologías más prometedoras y las limitaciones que aún deben superarse. Este análisis permite comprender cómo diferentes algoritmos pueden aplicarse a problemas agrícolas específicos y cuáles son los factores que condicionan su rendimiento, facilitando el desarrollo de futuras soluciones inteligentes para el sector agrícola.</w:t>
      </w:r>
    </w:p>
    <w:p w:rsidR="00000000" w:rsidDel="00000000" w:rsidP="00000000" w:rsidRDefault="00000000" w:rsidRPr="00000000" w14:paraId="00000011">
      <w:pPr>
        <w:pStyle w:val="Heading3"/>
        <w:keepNext w:val="0"/>
        <w:keepLines w:val="0"/>
        <w:widowControl w:val="1"/>
        <w:jc w:val="both"/>
        <w:rPr>
          <w:sz w:val="26"/>
          <w:szCs w:val="26"/>
        </w:rPr>
      </w:pPr>
      <w:bookmarkStart w:colFirst="0" w:colLast="0" w:name="_heading=h.4u9huskucvtk" w:id="5"/>
      <w:bookmarkEnd w:id="5"/>
      <w:r w:rsidDel="00000000" w:rsidR="00000000" w:rsidRPr="00000000">
        <w:rPr>
          <w:sz w:val="26"/>
          <w:szCs w:val="26"/>
          <w:rtl w:val="0"/>
        </w:rPr>
        <w:t xml:space="preserve">Métricas que el autor usa y resultado que obtiene. Comentar</w:t>
      </w:r>
    </w:p>
    <w:p w:rsidR="00000000" w:rsidDel="00000000" w:rsidP="00000000" w:rsidRDefault="00000000" w:rsidRPr="00000000" w14:paraId="00000012">
      <w:pPr>
        <w:widowControl w:val="1"/>
        <w:spacing w:after="240" w:before="240" w:lineRule="auto"/>
        <w:jc w:val="both"/>
        <w:rPr>
          <w:sz w:val="24"/>
          <w:szCs w:val="24"/>
        </w:rPr>
      </w:pPr>
      <w:r w:rsidDel="00000000" w:rsidR="00000000" w:rsidRPr="00000000">
        <w:rPr>
          <w:b w:val="1"/>
          <w:bCs w:val="1"/>
          <w:sz w:val="24"/>
          <w:szCs w:val="24"/>
          <w:rtl w:val="0"/>
        </w:rPr>
        <w:t xml:space="preserve">Métricas:</w:t>
      </w:r>
      <w:r w:rsidDel="00000000" w:rsidR="00000000" w:rsidRPr="00000000">
        <w:rPr>
          <w:sz w:val="24"/>
          <w:szCs w:val="24"/>
          <w:rtl w:val="0"/>
        </w:rPr>
        <w:t xml:space="preserve"> Al tratarse de una revisión, el artículo recopila las métricas utilizadas por los estudios analizados, principalmente Accuracy, Precision, Recall, F1-Score, Error Rate, Root Mean Square Error (RMSE), Mean Absolute Error (MAE) y coeficientes de determinación (R²), dependiendo del problema agrícola abordado.</w:t>
      </w:r>
    </w:p>
    <w:p w:rsidR="00000000" w:rsidDel="00000000" w:rsidP="00000000" w:rsidRDefault="00000000" w:rsidRPr="00000000" w14:paraId="00000013">
      <w:pPr>
        <w:widowControl w:val="1"/>
        <w:spacing w:after="240" w:before="240" w:lineRule="auto"/>
        <w:jc w:val="both"/>
        <w:rPr>
          <w:sz w:val="24"/>
          <w:szCs w:val="24"/>
        </w:rPr>
      </w:pPr>
      <w:r w:rsidDel="00000000" w:rsidR="00000000" w:rsidRPr="00000000">
        <w:rPr>
          <w:b w:val="1"/>
          <w:bCs w:val="1"/>
          <w:sz w:val="24"/>
          <w:szCs w:val="24"/>
          <w:rtl w:val="0"/>
        </w:rPr>
        <w:t xml:space="preserve">Resultados:</w:t>
      </w:r>
      <w:r w:rsidDel="00000000" w:rsidR="00000000" w:rsidRPr="00000000">
        <w:rPr>
          <w:sz w:val="24"/>
          <w:szCs w:val="24"/>
          <w:rtl w:val="0"/>
        </w:rPr>
        <w:t xml:space="preserve"> La revisión evidencia que los algoritmos de Machine Learning obtienen resultados altamente competitivos en múltiples aplicaciones agrícolas, especialmente en clasificación de enfermedades, predicción del rendimiento de cultivos y agricultura de precisión. Los autores concluyen que la incorporación de inteligencia artificial permite incrementar la precisión de los sistemas de monitoreo y optimizar la toma de decisiones agrícolas mediante el análisis automatizado de grandes volúmenes de datos.</w:t>
      </w:r>
    </w:p>
    <w:p w:rsidR="00000000" w:rsidDel="00000000" w:rsidP="00000000" w:rsidRDefault="00000000" w:rsidRPr="00000000" w14:paraId="00000014">
      <w:pPr>
        <w:widowControl w:val="1"/>
        <w:spacing w:after="240" w:before="240" w:lineRule="auto"/>
        <w:jc w:val="both"/>
        <w:rPr>
          <w:sz w:val="24"/>
          <w:szCs w:val="24"/>
        </w:rPr>
      </w:pPr>
      <w:r w:rsidDel="00000000" w:rsidR="00000000" w:rsidRPr="00000000">
        <w:rPr>
          <w:b w:val="1"/>
          <w:bCs w:val="1"/>
          <w:sz w:val="24"/>
          <w:szCs w:val="24"/>
          <w:rtl w:val="0"/>
        </w:rPr>
        <w:t xml:space="preserve">Comentarios:</w:t>
      </w:r>
      <w:r w:rsidDel="00000000" w:rsidR="00000000" w:rsidRPr="00000000">
        <w:rPr>
          <w:sz w:val="24"/>
          <w:szCs w:val="24"/>
          <w:rtl w:val="0"/>
        </w:rPr>
        <w:t xml:space="preserve"> Los resultados demuestran que el aprendizaje automático constituye una herramienta fundamental para la agricultura inteligente. Aunque el artículo fue publicado antes de la consolidación de arquitecturas modernas como EfficientNet o Vision Transformers, establece claramente la evolución tecnológica que posteriormente permitió el desarrollo de modelos de Deep Learning con mayor capacidad de aprendizaje y generalización.</w:t>
      </w:r>
    </w:p>
    <w:p w:rsidR="00000000" w:rsidDel="00000000" w:rsidP="00000000" w:rsidRDefault="00000000" w:rsidRPr="00000000" w14:paraId="00000015">
      <w:pPr>
        <w:pStyle w:val="Heading3"/>
        <w:keepNext w:val="0"/>
        <w:keepLines w:val="0"/>
        <w:widowControl w:val="1"/>
        <w:jc w:val="both"/>
        <w:rPr>
          <w:sz w:val="26"/>
          <w:szCs w:val="26"/>
        </w:rPr>
      </w:pPr>
      <w:bookmarkStart w:colFirst="0" w:colLast="0" w:name="_heading=h.ds44idjrjc8z" w:id="6"/>
      <w:bookmarkEnd w:id="6"/>
      <w:r w:rsidDel="00000000" w:rsidR="00000000" w:rsidRPr="00000000">
        <w:rPr>
          <w:sz w:val="26"/>
          <w:szCs w:val="26"/>
          <w:rtl w:val="0"/>
        </w:rPr>
        <w:t xml:space="preserve">Observaciones y/o críticas suyas al artículo</w:t>
      </w:r>
    </w:p>
    <w:p w:rsidR="00000000" w:rsidDel="00000000" w:rsidP="00000000" w:rsidRDefault="00000000" w:rsidRPr="00000000" w14:paraId="00000016">
      <w:pPr>
        <w:widowControl w:val="1"/>
        <w:spacing w:after="240" w:before="240" w:lineRule="auto"/>
        <w:jc w:val="both"/>
        <w:rPr>
          <w:sz w:val="24"/>
          <w:szCs w:val="24"/>
        </w:rPr>
      </w:pPr>
      <w:r w:rsidDel="00000000" w:rsidR="00000000" w:rsidRPr="00000000">
        <w:rPr>
          <w:sz w:val="24"/>
          <w:szCs w:val="24"/>
          <w:rtl w:val="0"/>
        </w:rPr>
        <w:t xml:space="preserve">El artículo representa una referencia importante para comprender la evolución del aprendizaje automático aplicado a la agricultura y su impacto en diferentes áreas del sector agroalimentario. Su principal fortaleza consiste en ofrecer una visión amplia e interdisciplinaria que integra problemas agrícolas muy diversos bajo un mismo marco conceptual. No obstante, debido a la fecha de publicación, el estudio dedica una atención limitada a las Redes Neuronales Convolucionales profundas y no incorpora avances recientes relacionados con Transfer Learning, EfficientNet, Vision Transformers, aprendizaje auto-supervisado o modelos multimodales, tecnologías que actualmente lideran la investigación en visión artificial aplicada a la detección de enfermedades vegetales. A pesar de ello, continúa siendo una referencia fundamental para comprender la transición desde el Machine Learning tradicional hacia el Deep Learning en agricultura.</w:t>
      </w:r>
    </w:p>
    <w:p w:rsidR="00000000" w:rsidDel="00000000" w:rsidP="00000000" w:rsidRDefault="00000000" w:rsidRPr="00000000" w14:paraId="00000017">
      <w:pPr>
        <w:widowControl w:val="1"/>
        <w:spacing w:after="280" w:before="280" w:lineRule="auto"/>
        <w:jc w:val="both"/>
        <w:rPr>
          <w:b w:val="1"/>
          <w:bCs w:val="1"/>
          <w:u w:val="singl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1o8BqlYRNjOID6j+oX4oHvei1g==">CgMxLjAyDmguaTRyZ2dnYmQ4YTh3Mg5oLnB6am5xNG9uaWtrNzIOaC5qcHptejV0czUwNXoyDmguN3Y1am8yYjdodG9jMg5oLmwwdTFrbzVzNXp6MzIOaC40dTlodXNrdWN2dGsyDmguZHM0NGlkanJqYzh6OAByITFwcEk2RUoxSWtCMkZYam9iNG1odEJ2cmxaZWZXYWI1Ug==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