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bCs w:val="1"/>
        </w:rPr>
      </w:pPr>
      <w:r w:rsidDel="00000000" w:rsidR="00000000" w:rsidRPr="00000000">
        <w:rPr>
          <w:b w:val="1"/>
          <w:bCs w:val="1"/>
          <w:rtl w:val="0"/>
        </w:rPr>
        <w:t xml:space="preserve">Plantilla del Estado del Arte</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t xml:space="preserve">Author (s):</w:t>
      </w:r>
      <w:r w:rsidDel="00000000" w:rsidR="00000000" w:rsidRPr="00000000">
        <w:rPr>
          <w:rtl w:val="0"/>
        </w:rPr>
        <w:t xml:space="preserve"> Dimitrios Kamilaris y Francesc X. Prenafeta-Boldú.</w:t>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Title of paper:</w:t>
      </w:r>
      <w:r w:rsidDel="00000000" w:rsidR="00000000" w:rsidRPr="00000000">
        <w:rPr>
          <w:rtl w:val="0"/>
        </w:rPr>
        <w:t xml:space="preserve"> Deep Learning in Agriculture: A Survey.</w:t>
      </w:r>
    </w:p>
    <w:p w:rsidR="00000000" w:rsidDel="00000000" w:rsidP="00000000" w:rsidRDefault="00000000" w:rsidRPr="00000000" w14:paraId="00000004">
      <w:pPr>
        <w:spacing w:after="240" w:before="240" w:lineRule="auto"/>
        <w:jc w:val="both"/>
        <w:rPr/>
      </w:pPr>
      <w:r w:rsidDel="00000000" w:rsidR="00000000" w:rsidRPr="00000000">
        <w:rPr>
          <w:b w:val="1"/>
          <w:bCs w:val="1"/>
          <w:rtl w:val="0"/>
        </w:rPr>
        <w:t xml:space="preserve">Journal:</w:t>
      </w:r>
      <w:r w:rsidDel="00000000" w:rsidR="00000000" w:rsidRPr="00000000">
        <w:rPr>
          <w:rtl w:val="0"/>
        </w:rPr>
        <w:t xml:space="preserve"> Computers and Electronics in Agriculture.</w:t>
      </w:r>
    </w:p>
    <w:p w:rsidR="00000000" w:rsidDel="00000000" w:rsidP="00000000" w:rsidRDefault="00000000" w:rsidRPr="00000000" w14:paraId="00000005">
      <w:pPr>
        <w:spacing w:after="240" w:before="240" w:lineRule="auto"/>
        <w:jc w:val="both"/>
        <w:rPr/>
      </w:pPr>
      <w:r w:rsidDel="00000000" w:rsidR="00000000" w:rsidRPr="00000000">
        <w:rPr>
          <w:b w:val="1"/>
          <w:bCs w:val="1"/>
          <w:rtl w:val="0"/>
        </w:rPr>
        <w:t xml:space="preserve">Volume (issue):</w:t>
      </w:r>
      <w:r w:rsidDel="00000000" w:rsidR="00000000" w:rsidRPr="00000000">
        <w:rPr>
          <w:rtl w:val="0"/>
        </w:rPr>
        <w:t xml:space="preserve"> 147.</w:t>
      </w:r>
    </w:p>
    <w:p w:rsidR="00000000" w:rsidDel="00000000" w:rsidP="00000000" w:rsidRDefault="00000000" w:rsidRPr="00000000" w14:paraId="00000006">
      <w:pPr>
        <w:spacing w:after="240" w:before="240" w:lineRule="auto"/>
        <w:jc w:val="both"/>
        <w:rPr/>
      </w:pPr>
      <w:r w:rsidDel="00000000" w:rsidR="00000000" w:rsidRPr="00000000">
        <w:rPr>
          <w:b w:val="1"/>
          <w:bCs w:val="1"/>
          <w:rtl w:val="0"/>
        </w:rPr>
        <w:t xml:space="preserve">pag – pag (year):</w:t>
      </w:r>
      <w:r w:rsidDel="00000000" w:rsidR="00000000" w:rsidRPr="00000000">
        <w:rPr>
          <w:rtl w:val="0"/>
        </w:rPr>
        <w:t xml:space="preserve"> 70 – 90 (2018).</w:t>
      </w:r>
    </w:p>
    <w:p w:rsidR="00000000" w:rsidDel="00000000" w:rsidP="00000000" w:rsidRDefault="00000000" w:rsidRPr="00000000" w14:paraId="00000007">
      <w:pPr>
        <w:pStyle w:val="Heading3"/>
        <w:keepNext w:val="0"/>
        <w:keepLines w:val="0"/>
        <w:ind w:left="143" w:firstLine="0"/>
        <w:jc w:val="both"/>
        <w:rPr>
          <w:sz w:val="26"/>
          <w:szCs w:val="26"/>
        </w:rPr>
      </w:pPr>
      <w:bookmarkStart w:colFirst="0" w:colLast="0" w:name="_heading=h.c0w0hppuq5qh" w:id="0"/>
      <w:bookmarkEnd w:id="0"/>
      <w:r w:rsidDel="00000000" w:rsidR="00000000" w:rsidRPr="00000000">
        <w:rPr>
          <w:sz w:val="26"/>
          <w:szCs w:val="26"/>
          <w:rtl w:val="0"/>
        </w:rPr>
        <w:t xml:space="preserve">Estado del arte que hace el autor</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Los autores presentan el estado del arte del aprendizaje profundo aplicado a la agricultura, destacando que el crecimiento de la capacidad computacional, la disponibilidad de grandes volúmenes de datos y el desarrollo de nuevas arquitecturas neuronales han impulsado una transformación significativa en las aplicaciones agrícolas inteligentes. La revisión evidencia que, hasta ese momento, las Redes Neuronales Convolucionales (CNN) se habían convertido en la principal herramienta para resolver problemas relacionados con clasificación de cultivos, detección de enfermedades vegetales, reconocimiento de malezas, conteo de frutos y análisis de imágenes obtenidas mediante drones, satélites y cámaras terrestres. Asimismo, los autores muestran que el aprendizaje profundo comenzaba a sustituir progresivamente a los algoritmos tradicionales de Machine Learning, ya que permitía aprender automáticamente representaciones complejas sin necesidad de diseñar manualmente las características de entrada.</w:t>
      </w:r>
    </w:p>
    <w:p w:rsidR="00000000" w:rsidDel="00000000" w:rsidP="00000000" w:rsidRDefault="00000000" w:rsidRPr="00000000" w14:paraId="00000009">
      <w:pPr>
        <w:pStyle w:val="Heading3"/>
        <w:keepNext w:val="0"/>
        <w:keepLines w:val="0"/>
        <w:ind w:left="143" w:firstLine="0"/>
        <w:jc w:val="both"/>
        <w:rPr>
          <w:sz w:val="26"/>
          <w:szCs w:val="26"/>
        </w:rPr>
      </w:pPr>
      <w:bookmarkStart w:colFirst="0" w:colLast="0" w:name="_heading=h.8zh0yg8djwur" w:id="1"/>
      <w:bookmarkEnd w:id="1"/>
      <w:r w:rsidDel="00000000" w:rsidR="00000000" w:rsidRPr="00000000">
        <w:rPr>
          <w:sz w:val="26"/>
          <w:szCs w:val="26"/>
          <w:rtl w:val="0"/>
        </w:rPr>
        <w:t xml:space="preserve">Motivación del autor (críticas del autor a otros trabajos)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La principal motivación del estudio consiste en analizar el crecimiento acelerado de las aplicaciones de Deep Learning en agricultura e identificar las oportunidades y limitaciones presentes en este nuevo campo de investigación. Los autores critican que gran parte de los estudios existentes analizaban únicamente problemas agrícolas específicos, dificultando obtener una visión global del impacto que el aprendizaje profundo estaba teniendo sobre el sector. Además, señalan que muchas investigaciones utilizaban conjuntos de datos pequeños y poco diversos, limitando la capacidad de generalización de los modelos desarrollados. También destacan que el elevado costo computacional y la limitada disponibilidad de bases de datos agrícolas etiquetadas representaban importantes obstáculos para la adopción masiva de estas tecnologías.</w:t>
      </w:r>
    </w:p>
    <w:p w:rsidR="00000000" w:rsidDel="00000000" w:rsidP="00000000" w:rsidRDefault="00000000" w:rsidRPr="00000000" w14:paraId="0000000B">
      <w:pPr>
        <w:pStyle w:val="Heading3"/>
        <w:keepNext w:val="0"/>
        <w:keepLines w:val="0"/>
        <w:ind w:left="143" w:firstLine="0"/>
        <w:jc w:val="both"/>
        <w:rPr>
          <w:sz w:val="26"/>
          <w:szCs w:val="26"/>
        </w:rPr>
      </w:pPr>
      <w:bookmarkStart w:colFirst="0" w:colLast="0" w:name="_heading=h.lap2vom28vj1" w:id="2"/>
      <w:bookmarkEnd w:id="2"/>
      <w:r w:rsidDel="00000000" w:rsidR="00000000" w:rsidRPr="00000000">
        <w:rPr>
          <w:sz w:val="26"/>
          <w:szCs w:val="26"/>
          <w:rtl w:val="0"/>
        </w:rPr>
        <w:t xml:space="preserve">Descripción del aporte del autor</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El principal aporte del artículo consiste en ofrecer una revisión integral sobre las aplicaciones del aprendizaje profundo en diferentes áreas de la agricultura. Los autores clasifican las investigaciones según su aplicación en visión artificial, agricultura de precisión, robótica agrícola, monitoreo de cultivos, detección de enfermedades, clasificación de especies vegetales, estimación del rendimiento agrícola y automatización de procesos productivos. Asimismo, comparan las arquitecturas de Deep Learning más utilizadas, analizando sus fortalezas, limitaciones y posibilidades de aplicación futura. El estudio proporciona una visión estructurada del estado del conocimiento y establece una hoja de ruta para el desarrollo de nuevas soluciones basadas en inteligencia artificial aplicada al sector agrícola.</w:t>
      </w:r>
    </w:p>
    <w:p w:rsidR="00000000" w:rsidDel="00000000" w:rsidP="00000000" w:rsidRDefault="00000000" w:rsidRPr="00000000" w14:paraId="0000000D">
      <w:pPr>
        <w:pStyle w:val="Heading3"/>
        <w:keepNext w:val="0"/>
        <w:keepLines w:val="0"/>
        <w:ind w:left="143" w:firstLine="0"/>
        <w:jc w:val="both"/>
        <w:rPr>
          <w:sz w:val="26"/>
          <w:szCs w:val="26"/>
        </w:rPr>
      </w:pPr>
      <w:bookmarkStart w:colFirst="0" w:colLast="0" w:name="_heading=h.5t8kdn6ja4nj" w:id="3"/>
      <w:bookmarkEnd w:id="3"/>
      <w:r w:rsidDel="00000000" w:rsidR="00000000" w:rsidRPr="00000000">
        <w:rPr>
          <w:sz w:val="26"/>
          <w:szCs w:val="26"/>
          <w:rtl w:val="0"/>
        </w:rPr>
        <w:t xml:space="preserve">Proceso para obtener el aporte que considera el autor</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Para desarrollar la revisión, los autores recopilaron investigaciones publicadas en revistas científicas internacionales relacionadas con Deep Learning y agricultura. Posteriormente clasificaron los estudios según el problema agrícola abordado, el tipo de datos utilizados, las arquitecturas neuronales implementadas y los resultados obtenidos. Finalmente, realizaron un análisis comparativo que permitió identificar las principales tendencias tecnológicas, los beneficios alcanzados mediante el aprendizaje profundo y las limitaciones que aún persistían para su implementación en escenarios agrícolas reales.</w:t>
      </w:r>
    </w:p>
    <w:p w:rsidR="00000000" w:rsidDel="00000000" w:rsidP="00000000" w:rsidRDefault="00000000" w:rsidRPr="00000000" w14:paraId="0000000F">
      <w:pPr>
        <w:pStyle w:val="Heading3"/>
        <w:keepNext w:val="0"/>
        <w:keepLines w:val="0"/>
        <w:ind w:left="143" w:firstLine="0"/>
        <w:jc w:val="both"/>
        <w:rPr>
          <w:sz w:val="26"/>
          <w:szCs w:val="26"/>
        </w:rPr>
      </w:pPr>
      <w:bookmarkStart w:colFirst="0" w:colLast="0" w:name="_heading=h.d540v41d32ww" w:id="4"/>
      <w:bookmarkEnd w:id="4"/>
      <w:r w:rsidDel="00000000" w:rsidR="00000000" w:rsidRPr="00000000">
        <w:rPr>
          <w:sz w:val="26"/>
          <w:szCs w:val="26"/>
          <w:rtl w:val="0"/>
        </w:rPr>
        <w:t xml:space="preserve">Proceso para resolver el problema considerado por el autor</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El artículo resuelve el problema mediante una síntesis sistemática de la literatura científica sobre aprendizaje profundo aplicado a la agricultura. En lugar de proponer un nuevo algoritmo, los autores organizan el conocimiento disponible para identificar las arquitecturas más utilizadas, las aplicaciones con mayor desarrollo y los desafíos tecnológicos que limitan su adopción. Este análisis permite comprender la evolución del Deep Learning dentro del sector agrícola y proporciona una base conceptual para futuras investigaciones orientadas al desarrollo de sistemas inteligentes más eficientes y robustos.</w:t>
      </w:r>
    </w:p>
    <w:p w:rsidR="00000000" w:rsidDel="00000000" w:rsidP="00000000" w:rsidRDefault="00000000" w:rsidRPr="00000000" w14:paraId="00000011">
      <w:pPr>
        <w:pStyle w:val="Heading3"/>
        <w:keepNext w:val="0"/>
        <w:keepLines w:val="0"/>
        <w:ind w:left="143" w:firstLine="0"/>
        <w:jc w:val="both"/>
        <w:rPr>
          <w:sz w:val="26"/>
          <w:szCs w:val="26"/>
        </w:rPr>
      </w:pPr>
      <w:bookmarkStart w:colFirst="0" w:colLast="0" w:name="_heading=h.as7rd5g178gv" w:id="5"/>
      <w:bookmarkEnd w:id="5"/>
      <w:r w:rsidDel="00000000" w:rsidR="00000000" w:rsidRPr="00000000">
        <w:rPr>
          <w:sz w:val="26"/>
          <w:szCs w:val="26"/>
          <w:rtl w:val="0"/>
        </w:rPr>
        <w:t xml:space="preserve">Métricas que el autor usa y resultado que obtiene. Comentar</w:t>
      </w:r>
    </w:p>
    <w:p w:rsidR="00000000" w:rsidDel="00000000" w:rsidP="00000000" w:rsidRDefault="00000000" w:rsidRPr="00000000" w14:paraId="00000012">
      <w:pPr>
        <w:spacing w:after="240" w:before="240" w:lineRule="auto"/>
        <w:jc w:val="both"/>
        <w:rPr/>
      </w:pPr>
      <w:r w:rsidDel="00000000" w:rsidR="00000000" w:rsidRPr="00000000">
        <w:rPr>
          <w:b w:val="1"/>
          <w:bCs w:val="1"/>
          <w:rtl w:val="0"/>
        </w:rPr>
        <w:t xml:space="preserve">Métricas:</w:t>
      </w:r>
      <w:r w:rsidDel="00000000" w:rsidR="00000000" w:rsidRPr="00000000">
        <w:rPr>
          <w:rtl w:val="0"/>
        </w:rPr>
        <w:t xml:space="preserve"> El estudio recopila las métricas empleadas por las investigaciones revisadas, entre ellas Accuracy, Precision, Recall, F1-Score, Mean Absolute Error (MAE), Root Mean Square Error (RMSE) y coeficiente de determinación (R²), dependiendo del tipo de aplicación agrícola analizada.</w:t>
      </w:r>
    </w:p>
    <w:p w:rsidR="00000000" w:rsidDel="00000000" w:rsidP="00000000" w:rsidRDefault="00000000" w:rsidRPr="00000000" w14:paraId="00000013">
      <w:pPr>
        <w:spacing w:after="240" w:before="240" w:lineRule="auto"/>
        <w:jc w:val="both"/>
        <w:rPr/>
      </w:pPr>
      <w:r w:rsidDel="00000000" w:rsidR="00000000" w:rsidRPr="00000000">
        <w:rPr>
          <w:b w:val="1"/>
          <w:bCs w:val="1"/>
          <w:rtl w:val="0"/>
        </w:rPr>
        <w:t xml:space="preserve">Resultados:</w:t>
      </w:r>
      <w:r w:rsidDel="00000000" w:rsidR="00000000" w:rsidRPr="00000000">
        <w:rPr>
          <w:rtl w:val="0"/>
        </w:rPr>
        <w:t xml:space="preserve"> La revisión demuestra que las arquitecturas de Deep Learning, especialmente las Redes Neuronales Convolucionales (CNN), superan de manera consistente a los métodos tradicionales de Machine Learning en tareas relacionadas con clasificación de enfermedades vegetales, identificación de cultivos y análisis de imágenes agrícolas. Asimismo, los autores concluyen que la disponibilidad de grandes conjuntos de datos y el uso de aceleración mediante GPU han sido factores determinantes para el éxito del aprendizaje profundo en agricultura.</w:t>
      </w:r>
    </w:p>
    <w:p w:rsidR="00000000" w:rsidDel="00000000" w:rsidP="00000000" w:rsidRDefault="00000000" w:rsidRPr="00000000" w14:paraId="00000014">
      <w:pPr>
        <w:spacing w:after="240" w:before="240" w:lineRule="auto"/>
        <w:jc w:val="both"/>
        <w:rPr/>
      </w:pPr>
      <w:r w:rsidDel="00000000" w:rsidR="00000000" w:rsidRPr="00000000">
        <w:rPr>
          <w:b w:val="1"/>
          <w:bCs w:val="1"/>
          <w:rtl w:val="0"/>
        </w:rPr>
        <w:t xml:space="preserve">Comentarios:</w:t>
      </w:r>
      <w:r w:rsidDel="00000000" w:rsidR="00000000" w:rsidRPr="00000000">
        <w:rPr>
          <w:rtl w:val="0"/>
        </w:rPr>
        <w:t xml:space="preserve"> Los resultados evidencian que el Deep Learning representa un cambio significativo respecto a los métodos tradicionales de procesamiento de imágenes. La capacidad de aprender automáticamente características discriminantes permitió mejorar considerablemente la precisión de los sistemas agrícolas inteligentes y sentó las bases para el posterior desarrollo de arquitecturas más avanzadas como EfficientNet, Vision Transformers y modelos híbridos utilizados actualmente en la detección de enfermedades vegetales.</w:t>
      </w:r>
    </w:p>
    <w:p w:rsidR="00000000" w:rsidDel="00000000" w:rsidP="00000000" w:rsidRDefault="00000000" w:rsidRPr="00000000" w14:paraId="00000015">
      <w:pPr>
        <w:pStyle w:val="Heading3"/>
        <w:keepNext w:val="0"/>
        <w:keepLines w:val="0"/>
        <w:ind w:left="143" w:firstLine="0"/>
        <w:jc w:val="both"/>
        <w:rPr>
          <w:sz w:val="26"/>
          <w:szCs w:val="26"/>
        </w:rPr>
      </w:pPr>
      <w:bookmarkStart w:colFirst="0" w:colLast="0" w:name="_heading=h.rpqxyjubfd95" w:id="6"/>
      <w:bookmarkEnd w:id="6"/>
      <w:r w:rsidDel="00000000" w:rsidR="00000000" w:rsidRPr="00000000">
        <w:rPr>
          <w:sz w:val="26"/>
          <w:szCs w:val="26"/>
          <w:rtl w:val="0"/>
        </w:rPr>
        <w:t xml:space="preserve">Observaciones y/o críticas suyas al artículo</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El artículo constituye una referencia fundamental para comprender la incorporación del aprendizaje profundo en la agricultura moderna. Su principal fortaleza radica en presentar una visión amplia de las diferentes aplicaciones del Deep Learning dentro del sector agrícola, permitiendo identificar las tendencias tecnológicas más relevantes y las oportunidades de investigación existentes. Sin embargo, debido a la fecha de publicación, el estudio no incorpora avances posteriores relacionados con Transfer Learning avanzado, EfficientNet, Vision Transformers, modelos multimodales, Explainable Artificial Intelligence (XAI) ni Edge AI, tecnologías que actualmente representan el estado del arte en visión artificial agrícola. A pesar de ello, la revisión continúa siendo un trabajo de referencia ampliamente citado para comprender la evolución del aprendizaje profundo en aplicaciones agrícolas.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both"/>
        <w:rPr>
          <w:b w:val="1"/>
          <w:bCs w:val="1"/>
          <w:u w:val="single"/>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1zEM0LIkRNiMmiNZZOYfjslgIw==">CgMxLjAyDmguYzB3MGhwcHVxNXFoMg5oLjh6aDB5Zzhkand1cjIOaC5sYXAydm9tMjh2ajEyDmguNXQ4a2RuNmphNG5qMg5oLmQ1NDB2NDFkMzJ3dzIOaC5hczdyZDVnMTc4Z3YyDmgucnBxeHlqdWJmZDk1OAByITFzZXg2ZFJLWXBNY0NISFBwVWN4QUZMdDhpejgtOF93Sw==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