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before="240" w:lineRule="auto"/>
        <w:jc w:val="both"/>
        <w:rPr>
          <w:b w:val="1"/>
          <w:bCs w:val="1"/>
          <w:sz w:val="24"/>
          <w:szCs w:val="24"/>
        </w:rPr>
      </w:pPr>
      <w:r w:rsidDel="00000000" w:rsidR="00000000" w:rsidRPr="00000000">
        <w:rPr>
          <w:b w:val="1"/>
          <w:bCs w:val="1"/>
          <w:sz w:val="24"/>
          <w:szCs w:val="24"/>
          <w:rtl w:val="0"/>
        </w:rPr>
        <w:t xml:space="preserve">Plantilla del Estado del Arte</w:t>
      </w:r>
    </w:p>
    <w:p w:rsidR="00000000" w:rsidDel="00000000" w:rsidP="00000000" w:rsidRDefault="00000000" w:rsidRPr="00000000" w14:paraId="00000002">
      <w:pPr>
        <w:widowControl w:val="1"/>
        <w:spacing w:after="240" w:before="240" w:lineRule="auto"/>
        <w:jc w:val="both"/>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Konstantinos G. Liakos, Patrizia Busato, Dimitrios Moshou, Simon Pearson y Dionysis Bochtis.</w:t>
      </w:r>
    </w:p>
    <w:p w:rsidR="00000000" w:rsidDel="00000000" w:rsidP="00000000" w:rsidRDefault="00000000" w:rsidRPr="00000000" w14:paraId="00000003">
      <w:pPr>
        <w:widowControl w:val="1"/>
        <w:spacing w:after="240" w:before="240" w:lineRule="auto"/>
        <w:jc w:val="both"/>
        <w:rPr>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Applications of Deep Learning in Agriculture: A Review.</w:t>
      </w:r>
    </w:p>
    <w:p w:rsidR="00000000" w:rsidDel="00000000" w:rsidP="00000000" w:rsidRDefault="00000000" w:rsidRPr="00000000" w14:paraId="00000004">
      <w:pPr>
        <w:widowControl w:val="1"/>
        <w:spacing w:after="240" w:before="240" w:lineRule="auto"/>
        <w:jc w:val="both"/>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Sensors.</w:t>
      </w:r>
    </w:p>
    <w:p w:rsidR="00000000" w:rsidDel="00000000" w:rsidP="00000000" w:rsidRDefault="00000000" w:rsidRPr="00000000" w14:paraId="00000005">
      <w:pPr>
        <w:widowControl w:val="1"/>
        <w:spacing w:after="240" w:before="240" w:lineRule="auto"/>
        <w:jc w:val="both"/>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18 (8).</w:t>
      </w:r>
    </w:p>
    <w:p w:rsidR="00000000" w:rsidDel="00000000" w:rsidP="00000000" w:rsidRDefault="00000000" w:rsidRPr="00000000" w14:paraId="00000006">
      <w:pPr>
        <w:widowControl w:val="1"/>
        <w:spacing w:after="240" w:before="240" w:lineRule="auto"/>
        <w:jc w:val="both"/>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2674 (2018).</w:t>
      </w:r>
    </w:p>
    <w:p w:rsidR="00000000" w:rsidDel="00000000" w:rsidP="00000000" w:rsidRDefault="00000000" w:rsidRPr="00000000" w14:paraId="00000007">
      <w:pPr>
        <w:pStyle w:val="Heading3"/>
        <w:keepNext w:val="0"/>
        <w:keepLines w:val="0"/>
        <w:widowControl w:val="1"/>
        <w:jc w:val="both"/>
        <w:rPr>
          <w:sz w:val="26"/>
          <w:szCs w:val="26"/>
        </w:rPr>
      </w:pPr>
      <w:bookmarkStart w:colFirst="0" w:colLast="0" w:name="_heading=h.f91c4bhs2tsj"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widowControl w:val="1"/>
        <w:spacing w:after="240" w:before="240" w:lineRule="auto"/>
        <w:jc w:val="both"/>
        <w:rPr>
          <w:sz w:val="24"/>
          <w:szCs w:val="24"/>
        </w:rPr>
      </w:pPr>
      <w:r w:rsidDel="00000000" w:rsidR="00000000" w:rsidRPr="00000000">
        <w:rPr>
          <w:sz w:val="24"/>
          <w:szCs w:val="24"/>
          <w:rtl w:val="0"/>
        </w:rPr>
        <w:t xml:space="preserve">Los autores presentan el estado del arte del aprendizaje profundo aplicado a la agricultura, destacando que la transformación digital del sector agrícola ha impulsado el desarrollo de sistemas inteligentes capaces de automatizar procesos de monitoreo, diagnóstico y toma de decisiones. La literatura revisada evidencia que el incremento en la disponibilidad de sensores, imágenes satelitales, vehículos aéreos no tripulados (UAV), dispositivos IoT y grandes volúmenes de datos agrícolas ha favorecido la adopción de algoritmos de Deep Learning para resolver problemas complejos relacionados con la producción agrícola. El estudio muestra que las Redes Neuronales Convolucionales (CNN) comenzaron a reemplazar progresivamente a los métodos tradicionales de visión artificial gracias a su capacidad para aprender automáticamente representaciones jerárquicas de las imágenes, mejorando significativamente tareas como la detección de enfermedades, clasificación de cultivos, identificación de malezas y estimación del rendimiento agrícola.</w:t>
      </w:r>
    </w:p>
    <w:p w:rsidR="00000000" w:rsidDel="00000000" w:rsidP="00000000" w:rsidRDefault="00000000" w:rsidRPr="00000000" w14:paraId="00000009">
      <w:pPr>
        <w:pStyle w:val="Heading3"/>
        <w:keepNext w:val="0"/>
        <w:keepLines w:val="0"/>
        <w:widowControl w:val="1"/>
        <w:jc w:val="both"/>
        <w:rPr>
          <w:sz w:val="26"/>
          <w:szCs w:val="26"/>
        </w:rPr>
      </w:pPr>
      <w:bookmarkStart w:colFirst="0" w:colLast="0" w:name="_heading=h.ub7ihibzikfu"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widowControl w:val="1"/>
        <w:spacing w:after="240" w:before="240" w:lineRule="auto"/>
        <w:jc w:val="both"/>
        <w:rPr>
          <w:sz w:val="24"/>
          <w:szCs w:val="24"/>
        </w:rPr>
      </w:pPr>
      <w:r w:rsidDel="00000000" w:rsidR="00000000" w:rsidRPr="00000000">
        <w:rPr>
          <w:sz w:val="24"/>
          <w:szCs w:val="24"/>
          <w:rtl w:val="0"/>
        </w:rPr>
        <w:t xml:space="preserve">La principal motivación del estudio consiste en sintetizar el creciente número de investigaciones sobre aprendizaje profundo aplicado a la agricultura y analizar las limitaciones que dificultan su implementación práctica. Los autores critican que muchas investigaciones se desarrollan de manera aislada para resolver problemas muy específicos, lo que dificulta obtener una visión global del impacto del Deep Learning en el sector agrícola. Asimismo, señalan que una parte importante de los estudios utiliza conjuntos de datos pequeños o poco representativos, limitando la capacidad de generalización de los modelos. También identifican la necesidad de incrementar la disponibilidad de bases de datos públicas y de desarrollar arquitecturas más eficientes desde el punto de vista computacional para facilitar su implementación en aplicaciones agrícolas reales.</w:t>
      </w:r>
    </w:p>
    <w:p w:rsidR="00000000" w:rsidDel="00000000" w:rsidP="00000000" w:rsidRDefault="00000000" w:rsidRPr="00000000" w14:paraId="0000000B">
      <w:pPr>
        <w:pStyle w:val="Heading3"/>
        <w:keepNext w:val="0"/>
        <w:keepLines w:val="0"/>
        <w:widowControl w:val="1"/>
        <w:jc w:val="both"/>
        <w:rPr>
          <w:sz w:val="26"/>
          <w:szCs w:val="26"/>
        </w:rPr>
      </w:pPr>
      <w:bookmarkStart w:colFirst="0" w:colLast="0" w:name="_heading=h.akv9zbddjko9"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widowControl w:val="1"/>
        <w:spacing w:after="240" w:before="240" w:lineRule="auto"/>
        <w:jc w:val="both"/>
        <w:rPr>
          <w:sz w:val="24"/>
          <w:szCs w:val="24"/>
        </w:rPr>
      </w:pPr>
      <w:r w:rsidDel="00000000" w:rsidR="00000000" w:rsidRPr="00000000">
        <w:rPr>
          <w:sz w:val="24"/>
          <w:szCs w:val="24"/>
          <w:rtl w:val="0"/>
        </w:rPr>
        <w:t xml:space="preserve">El principal aporte del artículo consiste en ofrecer una revisión integral sobre las aplicaciones del aprendizaje profundo en distintos ámbitos de la agricultura inteligente. Los autores organizan las investigaciones según áreas como detección de enfermedades vegetales, clasificación de especies, identificación de malezas, monitoreo de cultivos, agricultura de precisión, robótica agrícola, análisis de imágenes aéreas y predicción del rendimiento de cultivos. Además, comparan las principales arquitecturas de Deep Learning empleadas hasta ese momento, describiendo sus ventajas, limitaciones y escenarios de aplicación. El estudio proporciona una visión estructurada de la evolución tecnológica del aprendizaje profundo y plantea diversas oportunidades para el desarrollo de sistemas agrícolas inteligentes más eficientes.</w:t>
      </w:r>
    </w:p>
    <w:p w:rsidR="00000000" w:rsidDel="00000000" w:rsidP="00000000" w:rsidRDefault="00000000" w:rsidRPr="00000000" w14:paraId="0000000D">
      <w:pPr>
        <w:pStyle w:val="Heading3"/>
        <w:keepNext w:val="0"/>
        <w:keepLines w:val="0"/>
        <w:widowControl w:val="1"/>
        <w:jc w:val="both"/>
        <w:rPr>
          <w:sz w:val="26"/>
          <w:szCs w:val="26"/>
        </w:rPr>
      </w:pPr>
      <w:bookmarkStart w:colFirst="0" w:colLast="0" w:name="_heading=h.4p3raw3jc6e2"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widowControl w:val="1"/>
        <w:spacing w:after="240" w:before="240" w:lineRule="auto"/>
        <w:jc w:val="both"/>
        <w:rPr>
          <w:sz w:val="24"/>
          <w:szCs w:val="24"/>
        </w:rPr>
      </w:pPr>
      <w:r w:rsidDel="00000000" w:rsidR="00000000" w:rsidRPr="00000000">
        <w:rPr>
          <w:sz w:val="24"/>
          <w:szCs w:val="24"/>
          <w:rtl w:val="0"/>
        </w:rPr>
        <w:t xml:space="preserve">Los autores realizaron una revisión exhaustiva de publicaciones científicas relacionadas con inteligencia artificial, Deep Learning y agricultura de precisión. Posteriormente clasificaron las investigaciones según el problema agrícola abordado, el tipo de datos empleados, la arquitectura neuronal utilizada y los resultados alcanzados. Finalmente, desarrollaron un análisis comparativo que permitió identificar las tendencias predominantes, las aplicaciones con mayor desarrollo y los principales desafíos tecnológicos que enfrentaba el aprendizaje profundo dentro del sector agrícola.</w:t>
      </w:r>
    </w:p>
    <w:p w:rsidR="00000000" w:rsidDel="00000000" w:rsidP="00000000" w:rsidRDefault="00000000" w:rsidRPr="00000000" w14:paraId="0000000F">
      <w:pPr>
        <w:pStyle w:val="Heading3"/>
        <w:keepNext w:val="0"/>
        <w:keepLines w:val="0"/>
        <w:widowControl w:val="1"/>
        <w:jc w:val="both"/>
        <w:rPr>
          <w:sz w:val="26"/>
          <w:szCs w:val="26"/>
        </w:rPr>
      </w:pPr>
      <w:bookmarkStart w:colFirst="0" w:colLast="0" w:name="_heading=h.sm6h46y9npa0"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widowControl w:val="1"/>
        <w:spacing w:after="240" w:before="240" w:lineRule="auto"/>
        <w:jc w:val="both"/>
        <w:rPr>
          <w:sz w:val="24"/>
          <w:szCs w:val="24"/>
        </w:rPr>
      </w:pPr>
      <w:r w:rsidDel="00000000" w:rsidR="00000000" w:rsidRPr="00000000">
        <w:rPr>
          <w:sz w:val="24"/>
          <w:szCs w:val="24"/>
          <w:rtl w:val="0"/>
        </w:rPr>
        <w:t xml:space="preserve">El artículo aborda el problema mediante una revisión sistemática de las investigaciones existentes sobre Deep Learning aplicado a la agricultura. En lugar de proponer una nueva arquitectura computacional, los autores organizan el conocimiento disponible para establecer una clasificación de las aplicaciones más relevantes y evaluar el desempeño de las diferentes arquitecturas neuronales utilizadas en el sector. Este enfoque permite comprender el estado de desarrollo de la disciplina y proporciona una base científica para orientar futuras investigaciones orientadas al desarrollo de soluciones agrícolas inteligentes.</w:t>
      </w:r>
    </w:p>
    <w:p w:rsidR="00000000" w:rsidDel="00000000" w:rsidP="00000000" w:rsidRDefault="00000000" w:rsidRPr="00000000" w14:paraId="00000011">
      <w:pPr>
        <w:pStyle w:val="Heading3"/>
        <w:keepNext w:val="0"/>
        <w:keepLines w:val="0"/>
        <w:widowControl w:val="1"/>
        <w:jc w:val="both"/>
        <w:rPr>
          <w:sz w:val="26"/>
          <w:szCs w:val="26"/>
        </w:rPr>
      </w:pPr>
      <w:bookmarkStart w:colFirst="0" w:colLast="0" w:name="_heading=h.90u19reuhd0c"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widowControl w:val="1"/>
        <w:spacing w:after="240" w:before="240" w:lineRule="auto"/>
        <w:jc w:val="both"/>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El artículo recopila las métricas reportadas por los estudios revisados, entre ellas Accuracy, Precision, Recall, F1-Score, Mean Absolute Error (MAE), Root Mean Square Error (RMSE), coeficiente de determinación (R²) y matrices de confusión, dependiendo de la aplicación agrícola analizada.</w:t>
      </w:r>
    </w:p>
    <w:p w:rsidR="00000000" w:rsidDel="00000000" w:rsidP="00000000" w:rsidRDefault="00000000" w:rsidRPr="00000000" w14:paraId="00000013">
      <w:pPr>
        <w:widowControl w:val="1"/>
        <w:spacing w:after="240" w:before="240" w:lineRule="auto"/>
        <w:jc w:val="both"/>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La revisión evidencia que las arquitecturas de Deep Learning alcanzan resultados superiores respecto a los métodos tradicionales de aprendizaje automático en tareas relacionadas con clasificación de enfermedades, identificación de cultivos, segmentación de imágenes y estimación del rendimiento agrícola. Los autores concluyen que las CNN representan la tecnología con mayor nivel de madurez para aplicaciones agrícolas basadas en visión por computador.</w:t>
      </w:r>
    </w:p>
    <w:p w:rsidR="00000000" w:rsidDel="00000000" w:rsidP="00000000" w:rsidRDefault="00000000" w:rsidRPr="00000000" w14:paraId="00000014">
      <w:pPr>
        <w:widowControl w:val="1"/>
        <w:spacing w:after="240" w:before="240" w:lineRule="auto"/>
        <w:jc w:val="both"/>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demuestran que el aprendizaje profundo constituye actualmente una de las tecnologías más prometedoras para el desarrollo de sistemas agrícolas inteligentes. La revisión también identifica que el éxito de estos modelos depende en gran medida de la calidad de los datos de entrenamiento, la disponibilidad de recursos computacionales y la representatividad de las imágenes utilizadas durante el proceso de aprendizaje.</w:t>
      </w:r>
    </w:p>
    <w:p w:rsidR="00000000" w:rsidDel="00000000" w:rsidP="00000000" w:rsidRDefault="00000000" w:rsidRPr="00000000" w14:paraId="00000015">
      <w:pPr>
        <w:pStyle w:val="Heading3"/>
        <w:keepNext w:val="0"/>
        <w:keepLines w:val="0"/>
        <w:widowControl w:val="1"/>
        <w:jc w:val="both"/>
        <w:rPr>
          <w:sz w:val="26"/>
          <w:szCs w:val="26"/>
        </w:rPr>
      </w:pPr>
      <w:bookmarkStart w:colFirst="0" w:colLast="0" w:name="_heading=h.omqlkha4b0ib"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widowControl w:val="1"/>
        <w:spacing w:after="240" w:before="240" w:lineRule="auto"/>
        <w:jc w:val="both"/>
        <w:rPr>
          <w:sz w:val="24"/>
          <w:szCs w:val="24"/>
        </w:rPr>
      </w:pPr>
      <w:r w:rsidDel="00000000" w:rsidR="00000000" w:rsidRPr="00000000">
        <w:rPr>
          <w:sz w:val="24"/>
          <w:szCs w:val="24"/>
          <w:rtl w:val="0"/>
        </w:rPr>
        <w:t xml:space="preserve">El artículo representa una referencia importante para comprender la evolución del Deep Learning dentro del sector agrícola y la diversidad de aplicaciones que ha alcanzado esta tecnología. Su principal fortaleza consiste en integrar investigaciones de diferentes áreas agrícolas bajo un mismo marco conceptual, permitiendo identificar las principales tendencias tecnológicas y oportunidades de investigación. No obstante, debido a su fecha de publicación, el estudio no contempla avances posteriores relacionados con EfficientNet, Vision Transformers, modelos multimodales, Explainable Artificial Intelligence (XAI), Edge AI ni aprendizaje federado, tecnologías que actualmente forman parte del estado del arte en detección automática de enfermedades vegetales. A pesar de ello, continúa siendo una revisión ampliamente citada y una base teórica sólida para comprender el desarrollo del aprendizaje profundo aplicado a la agricultura.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TK4vQbmARgDN2lCEI4CMaX96pg==">CgMxLjAyDmguZjkxYzRiaHMydHNqMg5oLnViN2loaWJ6aWtmdTIOaC5ha3Y5emJkZGprbzkyDmguNHAzcmF3M2pjNmUyMg5oLnNtNmg0Nnk5bnBhMDIOaC45MHUxOXJldWhkMGMyDmgub21xbGtoYTRiMGliOAByITFBT05mSS0tWWdwdWV3YjNjU1hJTDJ3QzU1T3g5VzNkQQ==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