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1"/>
        <w:spacing w:after="120" w:before="480" w:lineRule="auto"/>
        <w:ind w:left="0"/>
        <w:jc w:val="both"/>
        <w:rPr>
          <w:sz w:val="46"/>
          <w:szCs w:val="46"/>
        </w:rPr>
      </w:pPr>
      <w:bookmarkStart w:colFirst="0" w:colLast="0" w:name="_heading=h.wzygb1ko0bfb" w:id="0"/>
      <w:bookmarkEnd w:id="0"/>
      <w:r w:rsidDel="00000000" w:rsidR="00000000" w:rsidRPr="00000000">
        <w:rPr>
          <w:sz w:val="46"/>
          <w:szCs w:val="46"/>
          <w:rtl w:val="0"/>
        </w:rPr>
        <w:t xml:space="preserve">Plantilla del Estado del Arte</w:t>
      </w:r>
    </w:p>
    <w:p w:rsidR="00000000" w:rsidDel="00000000" w:rsidP="00000000" w:rsidRDefault="00000000" w:rsidRPr="00000000" w14:paraId="00000002">
      <w:pPr>
        <w:widowControl w:val="1"/>
        <w:spacing w:after="240" w:before="240" w:lineRule="auto"/>
        <w:jc w:val="both"/>
        <w:rPr>
          <w:sz w:val="24"/>
          <w:szCs w:val="24"/>
        </w:rPr>
      </w:pPr>
      <w:r w:rsidDel="00000000" w:rsidR="00000000" w:rsidRPr="00000000">
        <w:rPr>
          <w:b w:val="1"/>
          <w:bCs w:val="1"/>
          <w:sz w:val="24"/>
          <w:szCs w:val="24"/>
          <w:rtl w:val="0"/>
        </w:rPr>
        <w:t xml:space="preserve">Author (s):</w:t>
      </w:r>
      <w:r w:rsidDel="00000000" w:rsidR="00000000" w:rsidRPr="00000000">
        <w:rPr>
          <w:sz w:val="24"/>
          <w:szCs w:val="24"/>
          <w:rtl w:val="0"/>
        </w:rPr>
        <w:t xml:space="preserve"> Saleem, M. H., Potgieter, J. y Arif, K. M.</w:t>
      </w:r>
    </w:p>
    <w:p w:rsidR="00000000" w:rsidDel="00000000" w:rsidP="00000000" w:rsidRDefault="00000000" w:rsidRPr="00000000" w14:paraId="00000003">
      <w:pPr>
        <w:widowControl w:val="1"/>
        <w:spacing w:after="240" w:before="240" w:lineRule="auto"/>
        <w:jc w:val="both"/>
        <w:rPr>
          <w:i w:val="1"/>
          <w:iCs w:val="1"/>
          <w:sz w:val="24"/>
          <w:szCs w:val="24"/>
        </w:rPr>
      </w:pPr>
      <w:r w:rsidDel="00000000" w:rsidR="00000000" w:rsidRPr="00000000">
        <w:rPr>
          <w:b w:val="1"/>
          <w:bCs w:val="1"/>
          <w:sz w:val="24"/>
          <w:szCs w:val="24"/>
          <w:rtl w:val="0"/>
        </w:rPr>
        <w:t xml:space="preserve">Title of paper:</w:t>
      </w:r>
      <w:r w:rsidDel="00000000" w:rsidR="00000000" w:rsidRPr="00000000">
        <w:rPr>
          <w:sz w:val="24"/>
          <w:szCs w:val="24"/>
          <w:rtl w:val="0"/>
        </w:rPr>
        <w:t xml:space="preserve"> </w:t>
      </w:r>
      <w:r w:rsidDel="00000000" w:rsidR="00000000" w:rsidRPr="00000000">
        <w:rPr>
          <w:i w:val="1"/>
          <w:iCs w:val="1"/>
          <w:sz w:val="24"/>
          <w:szCs w:val="24"/>
          <w:rtl w:val="0"/>
        </w:rPr>
        <w:t xml:space="preserve">Plant Disease Detection and Classification by Deep Learning.</w:t>
      </w:r>
    </w:p>
    <w:p w:rsidR="00000000" w:rsidDel="00000000" w:rsidP="00000000" w:rsidRDefault="00000000" w:rsidRPr="00000000" w14:paraId="00000004">
      <w:pPr>
        <w:widowControl w:val="1"/>
        <w:spacing w:after="240" w:before="240" w:lineRule="auto"/>
        <w:jc w:val="both"/>
        <w:rPr>
          <w:sz w:val="24"/>
          <w:szCs w:val="24"/>
        </w:rPr>
      </w:pPr>
      <w:r w:rsidDel="00000000" w:rsidR="00000000" w:rsidRPr="00000000">
        <w:rPr>
          <w:b w:val="1"/>
          <w:bCs w:val="1"/>
          <w:sz w:val="24"/>
          <w:szCs w:val="24"/>
          <w:rtl w:val="0"/>
        </w:rPr>
        <w:t xml:space="preserve">Journal:</w:t>
      </w:r>
      <w:r w:rsidDel="00000000" w:rsidR="00000000" w:rsidRPr="00000000">
        <w:rPr>
          <w:sz w:val="24"/>
          <w:szCs w:val="24"/>
          <w:rtl w:val="0"/>
        </w:rPr>
        <w:t xml:space="preserve"> IEEE Access.</w:t>
      </w:r>
    </w:p>
    <w:p w:rsidR="00000000" w:rsidDel="00000000" w:rsidP="00000000" w:rsidRDefault="00000000" w:rsidRPr="00000000" w14:paraId="00000005">
      <w:pPr>
        <w:widowControl w:val="1"/>
        <w:spacing w:after="240" w:before="240" w:lineRule="auto"/>
        <w:jc w:val="both"/>
        <w:rPr>
          <w:sz w:val="24"/>
          <w:szCs w:val="24"/>
        </w:rPr>
      </w:pPr>
      <w:r w:rsidDel="00000000" w:rsidR="00000000" w:rsidRPr="00000000">
        <w:rPr>
          <w:b w:val="1"/>
          <w:bCs w:val="1"/>
          <w:sz w:val="24"/>
          <w:szCs w:val="24"/>
          <w:rtl w:val="0"/>
        </w:rPr>
        <w:t xml:space="preserve">Volume (issue):</w:t>
      </w:r>
      <w:r w:rsidDel="00000000" w:rsidR="00000000" w:rsidRPr="00000000">
        <w:rPr>
          <w:sz w:val="24"/>
          <w:szCs w:val="24"/>
          <w:rtl w:val="0"/>
        </w:rPr>
        <w:t xml:space="preserve"> 8.</w:t>
      </w:r>
    </w:p>
    <w:p w:rsidR="00000000" w:rsidDel="00000000" w:rsidP="00000000" w:rsidRDefault="00000000" w:rsidRPr="00000000" w14:paraId="00000006">
      <w:pPr>
        <w:widowControl w:val="1"/>
        <w:spacing w:after="240" w:before="240" w:lineRule="auto"/>
        <w:jc w:val="both"/>
        <w:rPr>
          <w:sz w:val="24"/>
          <w:szCs w:val="24"/>
        </w:rPr>
      </w:pPr>
      <w:r w:rsidDel="00000000" w:rsidR="00000000" w:rsidRPr="00000000">
        <w:rPr>
          <w:b w:val="1"/>
          <w:bCs w:val="1"/>
          <w:sz w:val="24"/>
          <w:szCs w:val="24"/>
          <w:rtl w:val="0"/>
        </w:rPr>
        <w:t xml:space="preserve">pag – pag (year):</w:t>
      </w:r>
      <w:r w:rsidDel="00000000" w:rsidR="00000000" w:rsidRPr="00000000">
        <w:rPr>
          <w:sz w:val="24"/>
          <w:szCs w:val="24"/>
          <w:rtl w:val="0"/>
        </w:rPr>
        <w:t xml:space="preserve"> 160181 – 160193 (2020).</w:t>
      </w:r>
    </w:p>
    <w:p w:rsidR="00000000" w:rsidDel="00000000" w:rsidP="00000000" w:rsidRDefault="00000000" w:rsidRPr="00000000" w14:paraId="00000007">
      <w:pPr>
        <w:widowControl w:val="1"/>
        <w:spacing w:after="280" w:before="28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widowControl w:val="1"/>
        <w:jc w:val="both"/>
        <w:rPr>
          <w:sz w:val="34"/>
          <w:szCs w:val="34"/>
        </w:rPr>
      </w:pPr>
      <w:bookmarkStart w:colFirst="0" w:colLast="0" w:name="_heading=h.gypb1onciyr1" w:id="1"/>
      <w:bookmarkEnd w:id="1"/>
      <w:r w:rsidDel="00000000" w:rsidR="00000000" w:rsidRPr="00000000">
        <w:rPr>
          <w:sz w:val="34"/>
          <w:szCs w:val="34"/>
          <w:rtl w:val="0"/>
        </w:rPr>
        <w:t xml:space="preserve">Estado del arte que hace el autor</w:t>
      </w:r>
    </w:p>
    <w:p w:rsidR="00000000" w:rsidDel="00000000" w:rsidP="00000000" w:rsidRDefault="00000000" w:rsidRPr="00000000" w14:paraId="00000009">
      <w:pPr>
        <w:widowControl w:val="1"/>
        <w:spacing w:after="240" w:before="240" w:lineRule="auto"/>
        <w:jc w:val="both"/>
        <w:rPr>
          <w:sz w:val="24"/>
          <w:szCs w:val="24"/>
        </w:rPr>
      </w:pPr>
      <w:r w:rsidDel="00000000" w:rsidR="00000000" w:rsidRPr="00000000">
        <w:rPr>
          <w:sz w:val="24"/>
          <w:szCs w:val="24"/>
          <w:rtl w:val="0"/>
        </w:rPr>
        <w:t xml:space="preserve">Los autores presentan un estado del arte centrado en la evolución de las técnicas de inteligencia artificial aplicadas a la detección automática de enfermedades vegetales. Inicialmente describen cómo los métodos tradicionales de diagnóstico dependían de la inspección visual realizada por especialistas agrícolas y de algoritmos clásicos de procesamiento digital de imágenes que requerían segmentación manual y extracción de características previamente definidas. Posteriormente analizan el crecimiento del aprendizaje profundo, destacando que las Redes Neuronales Convolucionales (CNN) han revolucionado la clasificación de enfermedades al permitir el aprendizaje automático de características discriminantes directamente desde las imágenes.</w:t>
      </w:r>
    </w:p>
    <w:p w:rsidR="00000000" w:rsidDel="00000000" w:rsidP="00000000" w:rsidRDefault="00000000" w:rsidRPr="00000000" w14:paraId="0000000A">
      <w:pPr>
        <w:widowControl w:val="1"/>
        <w:spacing w:after="240" w:before="240" w:lineRule="auto"/>
        <w:jc w:val="both"/>
        <w:rPr>
          <w:sz w:val="24"/>
          <w:szCs w:val="24"/>
        </w:rPr>
      </w:pPr>
      <w:r w:rsidDel="00000000" w:rsidR="00000000" w:rsidRPr="00000000">
        <w:rPr>
          <w:sz w:val="24"/>
          <w:szCs w:val="24"/>
          <w:rtl w:val="0"/>
        </w:rPr>
        <w:t xml:space="preserve">La revisión también muestra que arquitecturas como AlexNet, VGGNet, GoogLeNet, ResNet, DenseNet e Inception han alcanzado resultados superiores respecto a los métodos convencionales, especialmente cuando se combinan con técnicas de </w:t>
      </w:r>
      <w:r w:rsidDel="00000000" w:rsidR="00000000" w:rsidRPr="00000000">
        <w:rPr>
          <w:b w:val="1"/>
          <w:bCs w:val="1"/>
          <w:sz w:val="24"/>
          <w:szCs w:val="24"/>
          <w:rtl w:val="0"/>
        </w:rPr>
        <w:t xml:space="preserve">Transfer Learning</w:t>
      </w:r>
      <w:r w:rsidDel="00000000" w:rsidR="00000000" w:rsidRPr="00000000">
        <w:rPr>
          <w:sz w:val="24"/>
          <w:szCs w:val="24"/>
          <w:rtl w:val="0"/>
        </w:rPr>
        <w:t xml:space="preserve"> y grandes conjuntos de datos como </w:t>
      </w:r>
      <w:r w:rsidDel="00000000" w:rsidR="00000000" w:rsidRPr="00000000">
        <w:rPr>
          <w:b w:val="1"/>
          <w:bCs w:val="1"/>
          <w:sz w:val="24"/>
          <w:szCs w:val="24"/>
          <w:rtl w:val="0"/>
        </w:rPr>
        <w:t xml:space="preserve">PlantVillage</w:t>
      </w:r>
      <w:r w:rsidDel="00000000" w:rsidR="00000000" w:rsidRPr="00000000">
        <w:rPr>
          <w:sz w:val="24"/>
          <w:szCs w:val="24"/>
          <w:rtl w:val="0"/>
        </w:rPr>
        <w:t xml:space="preserve">. Sin embargo, los autores señalan que aún existen limitaciones relacionadas con la variabilidad ambiental, la disponibilidad de datos reales y la capacidad de generalización de los modelos fuera de escenarios controlados.</w:t>
      </w:r>
    </w:p>
    <w:p w:rsidR="00000000" w:rsidDel="00000000" w:rsidP="00000000" w:rsidRDefault="00000000" w:rsidRPr="00000000" w14:paraId="0000000B">
      <w:pPr>
        <w:widowControl w:val="1"/>
        <w:spacing w:after="280" w:before="28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widowControl w:val="1"/>
        <w:jc w:val="both"/>
        <w:rPr>
          <w:sz w:val="34"/>
          <w:szCs w:val="34"/>
        </w:rPr>
      </w:pPr>
      <w:bookmarkStart w:colFirst="0" w:colLast="0" w:name="_heading=h.3dlq8gxxb7q1" w:id="2"/>
      <w:bookmarkEnd w:id="2"/>
      <w:r w:rsidDel="00000000" w:rsidR="00000000" w:rsidRPr="00000000">
        <w:rPr>
          <w:sz w:val="34"/>
          <w:szCs w:val="34"/>
          <w:rtl w:val="0"/>
        </w:rPr>
        <w:t xml:space="preserve">Motivación del autor (críticas del autor a otros trabajos)</w:t>
      </w:r>
    </w:p>
    <w:p w:rsidR="00000000" w:rsidDel="00000000" w:rsidP="00000000" w:rsidRDefault="00000000" w:rsidRPr="00000000" w14:paraId="0000000D">
      <w:pPr>
        <w:widowControl w:val="1"/>
        <w:spacing w:after="240" w:before="240" w:lineRule="auto"/>
        <w:jc w:val="both"/>
        <w:rPr>
          <w:sz w:val="24"/>
          <w:szCs w:val="24"/>
        </w:rPr>
      </w:pPr>
      <w:r w:rsidDel="00000000" w:rsidR="00000000" w:rsidRPr="00000000">
        <w:rPr>
          <w:sz w:val="24"/>
          <w:szCs w:val="24"/>
          <w:rtl w:val="0"/>
        </w:rPr>
        <w:t xml:space="preserve">La motivación principal del estudio surge de la necesidad de sintetizar los avances recientes del aprendizaje profundo aplicado a la detección de enfermedades vegetales y evaluar críticamente sus fortalezas y limitaciones. Los autores indican que muchas investigaciones reportan elevados niveles de precisión utilizando bases de datos obtenidas en laboratorio, pero pocas analizan el comportamiento de los modelos cuando se aplican en condiciones reales de cultivo.</w:t>
      </w:r>
    </w:p>
    <w:p w:rsidR="00000000" w:rsidDel="00000000" w:rsidP="00000000" w:rsidRDefault="00000000" w:rsidRPr="00000000" w14:paraId="0000000E">
      <w:pPr>
        <w:widowControl w:val="1"/>
        <w:spacing w:after="240" w:before="240" w:lineRule="auto"/>
        <w:jc w:val="both"/>
        <w:rPr>
          <w:sz w:val="24"/>
          <w:szCs w:val="24"/>
        </w:rPr>
      </w:pPr>
      <w:r w:rsidDel="00000000" w:rsidR="00000000" w:rsidRPr="00000000">
        <w:rPr>
          <w:sz w:val="24"/>
          <w:szCs w:val="24"/>
          <w:rtl w:val="0"/>
        </w:rPr>
        <w:t xml:space="preserve">Asimismo, critican que diversos trabajos utilizan metodologías experimentales diferentes, conjuntos de datos poco comparables y métricas distintas, dificultando la evaluación objetiva del progreso alcanzado. También destacan que la mayoría de investigaciones priorizan la precisión del modelo, dejando en segundo plano aspectos relacionados con la eficiencia computacional, la escalabilidad y la implementación práctica en sistemas agrícolas.</w:t>
      </w:r>
    </w:p>
    <w:p w:rsidR="00000000" w:rsidDel="00000000" w:rsidP="00000000" w:rsidRDefault="00000000" w:rsidRPr="00000000" w14:paraId="0000000F">
      <w:pPr>
        <w:widowControl w:val="1"/>
        <w:spacing w:after="280" w:before="28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widowControl w:val="1"/>
        <w:jc w:val="both"/>
        <w:rPr>
          <w:sz w:val="34"/>
          <w:szCs w:val="34"/>
        </w:rPr>
      </w:pPr>
      <w:bookmarkStart w:colFirst="0" w:colLast="0" w:name="_heading=h.1ch68xvz1q31" w:id="3"/>
      <w:bookmarkEnd w:id="3"/>
      <w:r w:rsidDel="00000000" w:rsidR="00000000" w:rsidRPr="00000000">
        <w:rPr>
          <w:sz w:val="34"/>
          <w:szCs w:val="34"/>
          <w:rtl w:val="0"/>
        </w:rPr>
        <w:t xml:space="preserve">Descripción del aporte del autor</w:t>
      </w:r>
    </w:p>
    <w:p w:rsidR="00000000" w:rsidDel="00000000" w:rsidP="00000000" w:rsidRDefault="00000000" w:rsidRPr="00000000" w14:paraId="00000011">
      <w:pPr>
        <w:widowControl w:val="1"/>
        <w:spacing w:after="240" w:before="240" w:lineRule="auto"/>
        <w:jc w:val="both"/>
        <w:rPr>
          <w:sz w:val="24"/>
          <w:szCs w:val="24"/>
        </w:rPr>
      </w:pPr>
      <w:r w:rsidDel="00000000" w:rsidR="00000000" w:rsidRPr="00000000">
        <w:rPr>
          <w:sz w:val="24"/>
          <w:szCs w:val="24"/>
          <w:rtl w:val="0"/>
        </w:rPr>
        <w:t xml:space="preserve">El principal aporte del artículo consiste en realizar una revisión sistemática de las arquitecturas de Deep Learning utilizadas para la detección y clasificación de enfermedades vegetales. Los autores comparan las principales Redes Neuronales Convolucionales empleadas hasta ese momento, describiendo su funcionamiento, ventajas y limitaciones.</w:t>
      </w:r>
    </w:p>
    <w:p w:rsidR="00000000" w:rsidDel="00000000" w:rsidP="00000000" w:rsidRDefault="00000000" w:rsidRPr="00000000" w14:paraId="00000012">
      <w:pPr>
        <w:widowControl w:val="1"/>
        <w:spacing w:after="240" w:before="240" w:lineRule="auto"/>
        <w:jc w:val="both"/>
        <w:rPr>
          <w:sz w:val="24"/>
          <w:szCs w:val="24"/>
        </w:rPr>
      </w:pPr>
      <w:r w:rsidDel="00000000" w:rsidR="00000000" w:rsidRPr="00000000">
        <w:rPr>
          <w:sz w:val="24"/>
          <w:szCs w:val="24"/>
          <w:rtl w:val="0"/>
        </w:rPr>
        <w:t xml:space="preserve">Además, identifican las tendencias de investigación más importantes relacionadas con Transfer Learning, aumento de datos (</w:t>
      </w:r>
      <w:r w:rsidDel="00000000" w:rsidR="00000000" w:rsidRPr="00000000">
        <w:rPr>
          <w:i w:val="1"/>
          <w:iCs w:val="1"/>
          <w:sz w:val="24"/>
          <w:szCs w:val="24"/>
          <w:rtl w:val="0"/>
        </w:rPr>
        <w:t xml:space="preserve">Data Augmentation</w:t>
      </w:r>
      <w:r w:rsidDel="00000000" w:rsidR="00000000" w:rsidRPr="00000000">
        <w:rPr>
          <w:sz w:val="24"/>
          <w:szCs w:val="24"/>
          <w:rtl w:val="0"/>
        </w:rPr>
        <w:t xml:space="preserve">), optimización de hiperparámetros y aplicaciones móviles para diagnóstico agrícola. El estudio también analiza las bases de datos más utilizadas y presenta recomendaciones para el desarrollo de modelos más robustos y aplicables en escenarios agrícolas reales.</w:t>
      </w:r>
    </w:p>
    <w:p w:rsidR="00000000" w:rsidDel="00000000" w:rsidP="00000000" w:rsidRDefault="00000000" w:rsidRPr="00000000" w14:paraId="00000013">
      <w:pPr>
        <w:widowControl w:val="1"/>
        <w:spacing w:after="280" w:before="28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widowControl w:val="1"/>
        <w:jc w:val="both"/>
        <w:rPr>
          <w:sz w:val="34"/>
          <w:szCs w:val="34"/>
        </w:rPr>
      </w:pPr>
      <w:bookmarkStart w:colFirst="0" w:colLast="0" w:name="_heading=h.u7ter8vxwpew" w:id="4"/>
      <w:bookmarkEnd w:id="4"/>
      <w:r w:rsidDel="00000000" w:rsidR="00000000" w:rsidRPr="00000000">
        <w:rPr>
          <w:sz w:val="34"/>
          <w:szCs w:val="34"/>
          <w:rtl w:val="0"/>
        </w:rPr>
        <w:t xml:space="preserve">Proceso para obtener el aporte que considera el autor</w:t>
      </w:r>
    </w:p>
    <w:p w:rsidR="00000000" w:rsidDel="00000000" w:rsidP="00000000" w:rsidRDefault="00000000" w:rsidRPr="00000000" w14:paraId="00000015">
      <w:pPr>
        <w:widowControl w:val="1"/>
        <w:spacing w:after="240" w:before="240" w:lineRule="auto"/>
        <w:jc w:val="both"/>
        <w:rPr>
          <w:sz w:val="24"/>
          <w:szCs w:val="24"/>
        </w:rPr>
      </w:pPr>
      <w:r w:rsidDel="00000000" w:rsidR="00000000" w:rsidRPr="00000000">
        <w:rPr>
          <w:sz w:val="24"/>
          <w:szCs w:val="24"/>
          <w:rtl w:val="0"/>
        </w:rPr>
        <w:t xml:space="preserve">Los autores realizaron una revisión bibliográfica exhaustiva de artículos científicos publicados en revistas indexadas relacionados con inteligencia artificial, visión por computador y detección de enfermedades vegetales. Posteriormente clasificaron las investigaciones según el tipo de cultivo, arquitectura de Deep Learning utilizada, conjunto de datos empleado, métricas de evaluación y resultados obtenidos.</w:t>
      </w:r>
    </w:p>
    <w:p w:rsidR="00000000" w:rsidDel="00000000" w:rsidP="00000000" w:rsidRDefault="00000000" w:rsidRPr="00000000" w14:paraId="00000016">
      <w:pPr>
        <w:widowControl w:val="1"/>
        <w:spacing w:after="240" w:before="240" w:lineRule="auto"/>
        <w:jc w:val="both"/>
        <w:rPr>
          <w:sz w:val="24"/>
          <w:szCs w:val="24"/>
        </w:rPr>
      </w:pPr>
      <w:r w:rsidDel="00000000" w:rsidR="00000000" w:rsidRPr="00000000">
        <w:rPr>
          <w:sz w:val="24"/>
          <w:szCs w:val="24"/>
          <w:rtl w:val="0"/>
        </w:rPr>
        <w:t xml:space="preserve">Finalmente, desarrollaron un análisis comparativo que permitió identificar las arquitecturas con mejor desempeño, las principales tendencias tecnológicas y los desafíos científicos que aún limitan la implementación práctica de estas soluciones.</w:t>
      </w:r>
    </w:p>
    <w:p w:rsidR="00000000" w:rsidDel="00000000" w:rsidP="00000000" w:rsidRDefault="00000000" w:rsidRPr="00000000" w14:paraId="00000017">
      <w:pPr>
        <w:widowControl w:val="1"/>
        <w:spacing w:after="280" w:before="28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widowControl w:val="1"/>
        <w:jc w:val="both"/>
        <w:rPr>
          <w:sz w:val="34"/>
          <w:szCs w:val="34"/>
        </w:rPr>
      </w:pPr>
      <w:bookmarkStart w:colFirst="0" w:colLast="0" w:name="_heading=h.664fs82qilps" w:id="5"/>
      <w:bookmarkEnd w:id="5"/>
      <w:r w:rsidDel="00000000" w:rsidR="00000000" w:rsidRPr="00000000">
        <w:rPr>
          <w:sz w:val="34"/>
          <w:szCs w:val="34"/>
          <w:rtl w:val="0"/>
        </w:rPr>
        <w:t xml:space="preserve">Proceso para resolver el problema considerado por el autor</w:t>
      </w:r>
    </w:p>
    <w:p w:rsidR="00000000" w:rsidDel="00000000" w:rsidP="00000000" w:rsidRDefault="00000000" w:rsidRPr="00000000" w14:paraId="00000019">
      <w:pPr>
        <w:widowControl w:val="1"/>
        <w:spacing w:after="240" w:before="240" w:lineRule="auto"/>
        <w:jc w:val="both"/>
        <w:rPr>
          <w:sz w:val="24"/>
          <w:szCs w:val="24"/>
        </w:rPr>
      </w:pPr>
      <w:r w:rsidDel="00000000" w:rsidR="00000000" w:rsidRPr="00000000">
        <w:rPr>
          <w:sz w:val="24"/>
          <w:szCs w:val="24"/>
          <w:rtl w:val="0"/>
        </w:rPr>
        <w:t xml:space="preserve">El artículo aborda el problema mediante una revisión estructurada de la literatura científica. En lugar de desarrollar un nuevo modelo de clasificación, los autores sintetizan el conocimiento existente para determinar cuáles son las arquitecturas de aprendizaje profundo que ofrecen mejores resultados en la detección automática de enfermedades vegetales.</w:t>
      </w:r>
    </w:p>
    <w:p w:rsidR="00000000" w:rsidDel="00000000" w:rsidP="00000000" w:rsidRDefault="00000000" w:rsidRPr="00000000" w14:paraId="0000001A">
      <w:pPr>
        <w:widowControl w:val="1"/>
        <w:spacing w:after="240" w:before="240" w:lineRule="auto"/>
        <w:jc w:val="both"/>
        <w:rPr>
          <w:sz w:val="24"/>
          <w:szCs w:val="24"/>
        </w:rPr>
      </w:pPr>
      <w:r w:rsidDel="00000000" w:rsidR="00000000" w:rsidRPr="00000000">
        <w:rPr>
          <w:sz w:val="24"/>
          <w:szCs w:val="24"/>
          <w:rtl w:val="0"/>
        </w:rPr>
        <w:t xml:space="preserve">Asimismo, identifican las etapas fundamentales que intervienen en el desarrollo de un sistema basado en Deep Learning: adquisición de imágenes, preprocesamiento, aumento de datos, entrenamiento del modelo, validación y evaluación mediante diferentes métricas de desempeño. Este enfoque proporciona una guía metodológica para futuras investigaciones en agricultura inteligente.</w:t>
      </w:r>
    </w:p>
    <w:p w:rsidR="00000000" w:rsidDel="00000000" w:rsidP="00000000" w:rsidRDefault="00000000" w:rsidRPr="00000000" w14:paraId="0000001B">
      <w:pPr>
        <w:widowControl w:val="1"/>
        <w:spacing w:after="280" w:before="28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widowControl w:val="1"/>
        <w:jc w:val="both"/>
        <w:rPr>
          <w:sz w:val="34"/>
          <w:szCs w:val="34"/>
        </w:rPr>
      </w:pPr>
      <w:bookmarkStart w:colFirst="0" w:colLast="0" w:name="_heading=h.bdenvmosy8i6" w:id="6"/>
      <w:bookmarkEnd w:id="6"/>
      <w:r w:rsidDel="00000000" w:rsidR="00000000" w:rsidRPr="00000000">
        <w:rPr>
          <w:sz w:val="34"/>
          <w:szCs w:val="34"/>
          <w:rtl w:val="0"/>
        </w:rPr>
        <w:t xml:space="preserve">Métricas que el autor usa y resultado que obtiene. Comentar</w:t>
      </w:r>
    </w:p>
    <w:p w:rsidR="00000000" w:rsidDel="00000000" w:rsidP="00000000" w:rsidRDefault="00000000" w:rsidRPr="00000000" w14:paraId="0000001D">
      <w:pPr>
        <w:widowControl w:val="1"/>
        <w:spacing w:after="240" w:before="240" w:lineRule="auto"/>
        <w:jc w:val="both"/>
        <w:rPr>
          <w:sz w:val="24"/>
          <w:szCs w:val="24"/>
        </w:rPr>
      </w:pPr>
      <w:r w:rsidDel="00000000" w:rsidR="00000000" w:rsidRPr="00000000">
        <w:rPr>
          <w:b w:val="1"/>
          <w:bCs w:val="1"/>
          <w:sz w:val="24"/>
          <w:szCs w:val="24"/>
          <w:rtl w:val="0"/>
        </w:rPr>
        <w:t xml:space="preserve">Métricas:</w:t>
      </w:r>
      <w:r w:rsidDel="00000000" w:rsidR="00000000" w:rsidRPr="00000000">
        <w:rPr>
          <w:sz w:val="24"/>
          <w:szCs w:val="24"/>
          <w:rtl w:val="0"/>
        </w:rPr>
        <w:t xml:space="preserve"> Al tratarse de un artículo de revisión, recopila las métricas empleadas por los estudios analizados, entre ellas </w:t>
      </w:r>
      <w:r w:rsidDel="00000000" w:rsidR="00000000" w:rsidRPr="00000000">
        <w:rPr>
          <w:b w:val="1"/>
          <w:bCs w:val="1"/>
          <w:sz w:val="24"/>
          <w:szCs w:val="24"/>
          <w:rtl w:val="0"/>
        </w:rPr>
        <w:t xml:space="preserve">Accuracy</w:t>
      </w:r>
      <w:r w:rsidDel="00000000" w:rsidR="00000000" w:rsidRPr="00000000">
        <w:rPr>
          <w:sz w:val="24"/>
          <w:szCs w:val="24"/>
          <w:rtl w:val="0"/>
        </w:rPr>
        <w:t xml:space="preserve">, </w:t>
      </w:r>
      <w:r w:rsidDel="00000000" w:rsidR="00000000" w:rsidRPr="00000000">
        <w:rPr>
          <w:b w:val="1"/>
          <w:bCs w:val="1"/>
          <w:sz w:val="24"/>
          <w:szCs w:val="24"/>
          <w:rtl w:val="0"/>
        </w:rPr>
        <w:t xml:space="preserve">Precision</w:t>
      </w:r>
      <w:r w:rsidDel="00000000" w:rsidR="00000000" w:rsidRPr="00000000">
        <w:rPr>
          <w:sz w:val="24"/>
          <w:szCs w:val="24"/>
          <w:rtl w:val="0"/>
        </w:rPr>
        <w:t xml:space="preserve">, </w:t>
      </w:r>
      <w:r w:rsidDel="00000000" w:rsidR="00000000" w:rsidRPr="00000000">
        <w:rPr>
          <w:b w:val="1"/>
          <w:bCs w:val="1"/>
          <w:sz w:val="24"/>
          <w:szCs w:val="24"/>
          <w:rtl w:val="0"/>
        </w:rPr>
        <w:t xml:space="preserve">Recall</w:t>
      </w:r>
      <w:r w:rsidDel="00000000" w:rsidR="00000000" w:rsidRPr="00000000">
        <w:rPr>
          <w:sz w:val="24"/>
          <w:szCs w:val="24"/>
          <w:rtl w:val="0"/>
        </w:rPr>
        <w:t xml:space="preserve">, </w:t>
      </w:r>
      <w:r w:rsidDel="00000000" w:rsidR="00000000" w:rsidRPr="00000000">
        <w:rPr>
          <w:b w:val="1"/>
          <w:bCs w:val="1"/>
          <w:sz w:val="24"/>
          <w:szCs w:val="24"/>
          <w:rtl w:val="0"/>
        </w:rPr>
        <w:t xml:space="preserve">F1-Score</w:t>
      </w:r>
      <w:r w:rsidDel="00000000" w:rsidR="00000000" w:rsidRPr="00000000">
        <w:rPr>
          <w:sz w:val="24"/>
          <w:szCs w:val="24"/>
          <w:rtl w:val="0"/>
        </w:rPr>
        <w:t xml:space="preserve">, </w:t>
      </w:r>
      <w:r w:rsidDel="00000000" w:rsidR="00000000" w:rsidRPr="00000000">
        <w:rPr>
          <w:b w:val="1"/>
          <w:bCs w:val="1"/>
          <w:sz w:val="24"/>
          <w:szCs w:val="24"/>
          <w:rtl w:val="0"/>
        </w:rPr>
        <w:t xml:space="preserve">Specificity</w:t>
      </w:r>
      <w:r w:rsidDel="00000000" w:rsidR="00000000" w:rsidRPr="00000000">
        <w:rPr>
          <w:sz w:val="24"/>
          <w:szCs w:val="24"/>
          <w:rtl w:val="0"/>
        </w:rPr>
        <w:t xml:space="preserve">, </w:t>
      </w:r>
      <w:r w:rsidDel="00000000" w:rsidR="00000000" w:rsidRPr="00000000">
        <w:rPr>
          <w:b w:val="1"/>
          <w:bCs w:val="1"/>
          <w:sz w:val="24"/>
          <w:szCs w:val="24"/>
          <w:rtl w:val="0"/>
        </w:rPr>
        <w:t xml:space="preserve">Sensitivity</w:t>
      </w:r>
      <w:r w:rsidDel="00000000" w:rsidR="00000000" w:rsidRPr="00000000">
        <w:rPr>
          <w:sz w:val="24"/>
          <w:szCs w:val="24"/>
          <w:rtl w:val="0"/>
        </w:rPr>
        <w:t xml:space="preserve">, </w:t>
      </w:r>
      <w:r w:rsidDel="00000000" w:rsidR="00000000" w:rsidRPr="00000000">
        <w:rPr>
          <w:b w:val="1"/>
          <w:bCs w:val="1"/>
          <w:sz w:val="24"/>
          <w:szCs w:val="24"/>
          <w:rtl w:val="0"/>
        </w:rPr>
        <w:t xml:space="preserve">Receiver Operating Characteristic (ROC)</w:t>
      </w:r>
      <w:r w:rsidDel="00000000" w:rsidR="00000000" w:rsidRPr="00000000">
        <w:rPr>
          <w:sz w:val="24"/>
          <w:szCs w:val="24"/>
          <w:rtl w:val="0"/>
        </w:rPr>
        <w:t xml:space="preserve"> y </w:t>
      </w:r>
      <w:r w:rsidDel="00000000" w:rsidR="00000000" w:rsidRPr="00000000">
        <w:rPr>
          <w:b w:val="1"/>
          <w:bCs w:val="1"/>
          <w:sz w:val="24"/>
          <w:szCs w:val="24"/>
          <w:rtl w:val="0"/>
        </w:rPr>
        <w:t xml:space="preserve">Area Under the Curve (AUC)</w:t>
      </w:r>
      <w:r w:rsidDel="00000000" w:rsidR="00000000" w:rsidRPr="00000000">
        <w:rPr>
          <w:sz w:val="24"/>
          <w:szCs w:val="24"/>
          <w:rtl w:val="0"/>
        </w:rPr>
        <w:t xml:space="preserve">.</w:t>
      </w:r>
    </w:p>
    <w:p w:rsidR="00000000" w:rsidDel="00000000" w:rsidP="00000000" w:rsidRDefault="00000000" w:rsidRPr="00000000" w14:paraId="0000001E">
      <w:pPr>
        <w:widowControl w:val="1"/>
        <w:spacing w:after="240" w:before="240" w:lineRule="auto"/>
        <w:jc w:val="both"/>
        <w:rPr>
          <w:sz w:val="24"/>
          <w:szCs w:val="24"/>
        </w:rPr>
      </w:pPr>
      <w:r w:rsidDel="00000000" w:rsidR="00000000" w:rsidRPr="00000000">
        <w:rPr>
          <w:b w:val="1"/>
          <w:bCs w:val="1"/>
          <w:sz w:val="24"/>
          <w:szCs w:val="24"/>
          <w:rtl w:val="0"/>
        </w:rPr>
        <w:t xml:space="preserve">Resultados:</w:t>
      </w:r>
      <w:r w:rsidDel="00000000" w:rsidR="00000000" w:rsidRPr="00000000">
        <w:rPr>
          <w:sz w:val="24"/>
          <w:szCs w:val="24"/>
          <w:rtl w:val="0"/>
        </w:rPr>
        <w:t xml:space="preserve"> La revisión evidencia que las arquitecturas basadas en Redes Neuronales Convolucionales alcanzan precisiones superiores al </w:t>
      </w:r>
      <w:r w:rsidDel="00000000" w:rsidR="00000000" w:rsidRPr="00000000">
        <w:rPr>
          <w:b w:val="1"/>
          <w:bCs w:val="1"/>
          <w:sz w:val="24"/>
          <w:szCs w:val="24"/>
          <w:rtl w:val="0"/>
        </w:rPr>
        <w:t xml:space="preserve">95 %</w:t>
      </w:r>
      <w:r w:rsidDel="00000000" w:rsidR="00000000" w:rsidRPr="00000000">
        <w:rPr>
          <w:sz w:val="24"/>
          <w:szCs w:val="24"/>
          <w:rtl w:val="0"/>
        </w:rPr>
        <w:t xml:space="preserve"> en la mayoría de estudios analizados, especialmente cuando utilizan Transfer Learning y conjuntos de datos de gran tamaño como PlantVillage. También se observa que técnicas como el aumento de datos y el ajuste fino de modelos preentrenados mejoran significativamente la capacidad de generalización de los clasificadores.</w:t>
      </w:r>
    </w:p>
    <w:p w:rsidR="00000000" w:rsidDel="00000000" w:rsidP="00000000" w:rsidRDefault="00000000" w:rsidRPr="00000000" w14:paraId="0000001F">
      <w:pPr>
        <w:widowControl w:val="1"/>
        <w:spacing w:after="240" w:before="240" w:lineRule="auto"/>
        <w:jc w:val="both"/>
        <w:rPr>
          <w:sz w:val="24"/>
          <w:szCs w:val="24"/>
        </w:rPr>
      </w:pPr>
      <w:r w:rsidDel="00000000" w:rsidR="00000000" w:rsidRPr="00000000">
        <w:rPr>
          <w:b w:val="1"/>
          <w:bCs w:val="1"/>
          <w:sz w:val="24"/>
          <w:szCs w:val="24"/>
          <w:rtl w:val="0"/>
        </w:rPr>
        <w:t xml:space="preserve">Comentarios:</w:t>
      </w:r>
      <w:r w:rsidDel="00000000" w:rsidR="00000000" w:rsidRPr="00000000">
        <w:rPr>
          <w:sz w:val="24"/>
          <w:szCs w:val="24"/>
          <w:rtl w:val="0"/>
        </w:rPr>
        <w:t xml:space="preserve"> Los resultados muestran que el aprendizaje profundo constituye actualmente la estrategia más efectiva para la detección automática de enfermedades vegetales. Sin embargo, el estudio enfatiza que la alta precisión obtenida en laboratorio debe complementarse con evaluaciones realizadas en condiciones reales de campo para garantizar la aplicabilidad práctica de los modelos desarrollados.</w:t>
      </w:r>
    </w:p>
    <w:p w:rsidR="00000000" w:rsidDel="00000000" w:rsidP="00000000" w:rsidRDefault="00000000" w:rsidRPr="00000000" w14:paraId="00000020">
      <w:pPr>
        <w:widowControl w:val="1"/>
        <w:spacing w:after="280" w:before="28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widowControl w:val="1"/>
        <w:jc w:val="both"/>
        <w:rPr>
          <w:sz w:val="34"/>
          <w:szCs w:val="34"/>
        </w:rPr>
      </w:pPr>
      <w:bookmarkStart w:colFirst="0" w:colLast="0" w:name="_heading=h.k6cspzbj18vh" w:id="7"/>
      <w:bookmarkEnd w:id="7"/>
      <w:r w:rsidDel="00000000" w:rsidR="00000000" w:rsidRPr="00000000">
        <w:rPr>
          <w:sz w:val="34"/>
          <w:szCs w:val="34"/>
          <w:rtl w:val="0"/>
        </w:rPr>
        <w:t xml:space="preserve">Observaciones y/o críticas suyas al artículo</w:t>
      </w:r>
    </w:p>
    <w:p w:rsidR="00000000" w:rsidDel="00000000" w:rsidP="00000000" w:rsidRDefault="00000000" w:rsidRPr="00000000" w14:paraId="00000022">
      <w:pPr>
        <w:widowControl w:val="1"/>
        <w:spacing w:after="240" w:before="240" w:lineRule="auto"/>
        <w:jc w:val="both"/>
        <w:rPr>
          <w:sz w:val="24"/>
          <w:szCs w:val="24"/>
        </w:rPr>
      </w:pPr>
      <w:r w:rsidDel="00000000" w:rsidR="00000000" w:rsidRPr="00000000">
        <w:rPr>
          <w:sz w:val="24"/>
          <w:szCs w:val="24"/>
          <w:rtl w:val="0"/>
        </w:rPr>
        <w:t xml:space="preserve">Este artículo constituye una referencia importante para comprender la evolución del Deep Learning aplicado a la agricultura, ya que integra de manera sistemática las principales arquitecturas, metodologías y tendencias existentes hasta el año 2020. Su principal fortaleza radica en proporcionar una comparación detallada entre diferentes modelos de aprendizaje profundo, facilitando la selección de arquitecturas adecuadas para futuras investigaciones.</w:t>
      </w:r>
    </w:p>
    <w:p w:rsidR="00000000" w:rsidDel="00000000" w:rsidP="00000000" w:rsidRDefault="00000000" w:rsidRPr="00000000" w14:paraId="00000023">
      <w:pPr>
        <w:widowControl w:val="1"/>
        <w:spacing w:after="240" w:before="240" w:lineRule="auto"/>
        <w:jc w:val="both"/>
        <w:rPr>
          <w:sz w:val="24"/>
          <w:szCs w:val="24"/>
        </w:rPr>
      </w:pPr>
      <w:r w:rsidDel="00000000" w:rsidR="00000000" w:rsidRPr="00000000">
        <w:rPr>
          <w:sz w:val="24"/>
          <w:szCs w:val="24"/>
          <w:rtl w:val="0"/>
        </w:rPr>
        <w:t xml:space="preserve">No obstante, debido a la fecha de publicación, la revisión no incorpora avances recientes como </w:t>
      </w:r>
      <w:r w:rsidDel="00000000" w:rsidR="00000000" w:rsidRPr="00000000">
        <w:rPr>
          <w:b w:val="1"/>
          <w:bCs w:val="1"/>
          <w:sz w:val="24"/>
          <w:szCs w:val="24"/>
          <w:rtl w:val="0"/>
        </w:rPr>
        <w:t xml:space="preserve">EfficientNetV2</w:t>
      </w:r>
      <w:r w:rsidDel="00000000" w:rsidR="00000000" w:rsidRPr="00000000">
        <w:rPr>
          <w:sz w:val="24"/>
          <w:szCs w:val="24"/>
          <w:rtl w:val="0"/>
        </w:rPr>
        <w:t xml:space="preserve">, </w:t>
      </w:r>
      <w:r w:rsidDel="00000000" w:rsidR="00000000" w:rsidRPr="00000000">
        <w:rPr>
          <w:b w:val="1"/>
          <w:bCs w:val="1"/>
          <w:sz w:val="24"/>
          <w:szCs w:val="24"/>
          <w:rtl w:val="0"/>
        </w:rPr>
        <w:t xml:space="preserve">Vision Transformers (ViT)</w:t>
      </w:r>
      <w:r w:rsidDel="00000000" w:rsidR="00000000" w:rsidRPr="00000000">
        <w:rPr>
          <w:sz w:val="24"/>
          <w:szCs w:val="24"/>
          <w:rtl w:val="0"/>
        </w:rPr>
        <w:t xml:space="preserve">, modelos híbridos CNN–Transformer, </w:t>
      </w:r>
      <w:r w:rsidDel="00000000" w:rsidR="00000000" w:rsidRPr="00000000">
        <w:rPr>
          <w:b w:val="1"/>
          <w:bCs w:val="1"/>
          <w:sz w:val="24"/>
          <w:szCs w:val="24"/>
          <w:rtl w:val="0"/>
        </w:rPr>
        <w:t xml:space="preserve">Explainable Artificial Intelligence (XAI)</w:t>
      </w:r>
      <w:r w:rsidDel="00000000" w:rsidR="00000000" w:rsidRPr="00000000">
        <w:rPr>
          <w:sz w:val="24"/>
          <w:szCs w:val="24"/>
          <w:rtl w:val="0"/>
        </w:rPr>
        <w:t xml:space="preserve">, </w:t>
      </w:r>
      <w:r w:rsidDel="00000000" w:rsidR="00000000" w:rsidRPr="00000000">
        <w:rPr>
          <w:b w:val="1"/>
          <w:bCs w:val="1"/>
          <w:sz w:val="24"/>
          <w:szCs w:val="24"/>
          <w:rtl w:val="0"/>
        </w:rPr>
        <w:t xml:space="preserve">Edge AI</w:t>
      </w:r>
      <w:r w:rsidDel="00000000" w:rsidR="00000000" w:rsidRPr="00000000">
        <w:rPr>
          <w:sz w:val="24"/>
          <w:szCs w:val="24"/>
          <w:rtl w:val="0"/>
        </w:rPr>
        <w:t xml:space="preserve">, aprendizaje federado ni modelos multimodales, tecnologías que actualmente representan el estado del arte en la detección automática de enfermedades vegetales. A pesar de ello, continúa siendo una referencia ampliamente citada y una base teórica sólida para investigaciones relacionadas con visión por computador y agricultura inteligente.</w:t>
      </w:r>
    </w:p>
    <w:p w:rsidR="00000000" w:rsidDel="00000000" w:rsidP="00000000" w:rsidRDefault="00000000" w:rsidRPr="00000000" w14:paraId="00000024">
      <w:pPr>
        <w:widowControl w:val="1"/>
        <w:spacing w:after="280" w:before="280" w:lineRule="auto"/>
        <w:jc w:val="both"/>
        <w:rPr>
          <w:b w:val="1"/>
          <w:bCs w:val="1"/>
          <w:u w:val="singl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PE"/>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8PQUF+YOuNQh+9CqRYyXedrpEA==">CgMxLjAyDmgud3p5Z2Ixa28wYmZiMg5oLmd5cGIxb25jaXlyMTIOaC4zZGxxOGd4eGI3cTEyDmguMWNoNjh4dnoxcTMxMg5oLnU3dGVyOHZ4d3BldzIOaC42NjRmczgycWlscHMyDmguYmRlbnZtb3N5OGk2Mg5oLms2Y3NwemJqMTh2aDgAciExZDBYanU1M25yWlpfX2NDVzRTd1NnOG52WkdiaHUwbDM=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