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spacing w:after="120" w:before="480" w:lineRule="auto"/>
        <w:ind w:left="0"/>
        <w:rPr>
          <w:sz w:val="46"/>
          <w:szCs w:val="46"/>
        </w:rPr>
      </w:pPr>
      <w:bookmarkStart w:colFirst="0" w:colLast="0" w:name="_heading=h.flefhixbihha"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widowControl w:val="1"/>
        <w:spacing w:after="240" w:before="240" w:lineRule="auto"/>
        <w:rPr>
          <w:sz w:val="24"/>
          <w:szCs w:val="24"/>
        </w:rPr>
      </w:pPr>
      <w:r w:rsidDel="00000000" w:rsidR="00000000" w:rsidRPr="00000000">
        <w:rPr>
          <w:b w:val="1"/>
          <w:bCs w:val="1"/>
          <w:sz w:val="24"/>
          <w:szCs w:val="24"/>
          <w:rtl w:val="0"/>
        </w:rPr>
        <w:t xml:space="preserve">Author (s):</w:t>
      </w:r>
      <w:r w:rsidDel="00000000" w:rsidR="00000000" w:rsidRPr="00000000">
        <w:rPr>
          <w:sz w:val="24"/>
          <w:szCs w:val="24"/>
          <w:rtl w:val="0"/>
        </w:rPr>
        <w:t xml:space="preserve"> Ngugi, P., Mwangi, J., Kimani, S. y colaboradores.</w:t>
      </w:r>
    </w:p>
    <w:p w:rsidR="00000000" w:rsidDel="00000000" w:rsidP="00000000" w:rsidRDefault="00000000" w:rsidRPr="00000000" w14:paraId="00000003">
      <w:pPr>
        <w:widowControl w:val="1"/>
        <w:spacing w:after="240" w:before="240" w:lineRule="auto"/>
        <w:rPr>
          <w:i w:val="1"/>
          <w:iCs w:val="1"/>
          <w:sz w:val="24"/>
          <w:szCs w:val="24"/>
        </w:rPr>
      </w:pPr>
      <w:r w:rsidDel="00000000" w:rsidR="00000000" w:rsidRPr="00000000">
        <w:rPr>
          <w:b w:val="1"/>
          <w:bCs w:val="1"/>
          <w:sz w:val="24"/>
          <w:szCs w:val="24"/>
          <w:rtl w:val="0"/>
        </w:rPr>
        <w:t xml:space="preserve">Title of paper:</w:t>
      </w:r>
      <w:r w:rsidDel="00000000" w:rsidR="00000000" w:rsidRPr="00000000">
        <w:rPr>
          <w:sz w:val="24"/>
          <w:szCs w:val="24"/>
          <w:rtl w:val="0"/>
        </w:rPr>
        <w:t xml:space="preserve"> </w:t>
      </w:r>
      <w:r w:rsidDel="00000000" w:rsidR="00000000" w:rsidRPr="00000000">
        <w:rPr>
          <w:i w:val="1"/>
          <w:iCs w:val="1"/>
          <w:sz w:val="24"/>
          <w:szCs w:val="24"/>
          <w:rtl w:val="0"/>
        </w:rPr>
        <w:t xml:space="preserve">Revolutionizing Crop Disease Detection with Computational Deep Learning: A Comprehensive Review.</w:t>
      </w:r>
    </w:p>
    <w:p w:rsidR="00000000" w:rsidDel="00000000" w:rsidP="00000000" w:rsidRDefault="00000000" w:rsidRPr="00000000" w14:paraId="00000004">
      <w:pPr>
        <w:widowControl w:val="1"/>
        <w:spacing w:after="240" w:before="240" w:lineRule="auto"/>
        <w:rPr>
          <w:sz w:val="24"/>
          <w:szCs w:val="24"/>
        </w:rPr>
      </w:pPr>
      <w:r w:rsidDel="00000000" w:rsidR="00000000" w:rsidRPr="00000000">
        <w:rPr>
          <w:b w:val="1"/>
          <w:bCs w:val="1"/>
          <w:sz w:val="24"/>
          <w:szCs w:val="24"/>
          <w:rtl w:val="0"/>
        </w:rPr>
        <w:t xml:space="preserve">Journal:</w:t>
      </w:r>
      <w:r w:rsidDel="00000000" w:rsidR="00000000" w:rsidRPr="00000000">
        <w:rPr>
          <w:sz w:val="24"/>
          <w:szCs w:val="24"/>
          <w:rtl w:val="0"/>
        </w:rPr>
        <w:t xml:space="preserve"> Artificial Intelligence in Agriculture.</w:t>
      </w:r>
    </w:p>
    <w:p w:rsidR="00000000" w:rsidDel="00000000" w:rsidP="00000000" w:rsidRDefault="00000000" w:rsidRPr="00000000" w14:paraId="00000005">
      <w:pPr>
        <w:widowControl w:val="1"/>
        <w:spacing w:after="240" w:before="240" w:lineRule="auto"/>
        <w:rPr>
          <w:sz w:val="24"/>
          <w:szCs w:val="24"/>
        </w:rPr>
      </w:pPr>
      <w:r w:rsidDel="00000000" w:rsidR="00000000" w:rsidRPr="00000000">
        <w:rPr>
          <w:b w:val="1"/>
          <w:bCs w:val="1"/>
          <w:sz w:val="24"/>
          <w:szCs w:val="24"/>
          <w:rtl w:val="0"/>
        </w:rPr>
        <w:t xml:space="preserve">Volume (issue):</w:t>
      </w:r>
      <w:r w:rsidDel="00000000" w:rsidR="00000000" w:rsidRPr="00000000">
        <w:rPr>
          <w:sz w:val="24"/>
          <w:szCs w:val="24"/>
          <w:rtl w:val="0"/>
        </w:rPr>
        <w:t xml:space="preserve"> 9.</w:t>
      </w:r>
    </w:p>
    <w:p w:rsidR="00000000" w:rsidDel="00000000" w:rsidP="00000000" w:rsidRDefault="00000000" w:rsidRPr="00000000" w14:paraId="00000006">
      <w:pPr>
        <w:widowControl w:val="1"/>
        <w:spacing w:after="240" w:before="240" w:lineRule="auto"/>
        <w:rPr>
          <w:sz w:val="24"/>
          <w:szCs w:val="24"/>
        </w:rPr>
      </w:pPr>
      <w:r w:rsidDel="00000000" w:rsidR="00000000" w:rsidRPr="00000000">
        <w:rPr>
          <w:b w:val="1"/>
          <w:bCs w:val="1"/>
          <w:sz w:val="24"/>
          <w:szCs w:val="24"/>
          <w:rtl w:val="0"/>
        </w:rPr>
        <w:t xml:space="preserve">pag – pag (year):</w:t>
      </w:r>
      <w:r w:rsidDel="00000000" w:rsidR="00000000" w:rsidRPr="00000000">
        <w:rPr>
          <w:sz w:val="24"/>
          <w:szCs w:val="24"/>
          <w:rtl w:val="0"/>
        </w:rPr>
        <w:t xml:space="preserve"> 85–112 (2024).</w:t>
      </w:r>
    </w:p>
    <w:p w:rsidR="00000000" w:rsidDel="00000000" w:rsidP="00000000" w:rsidRDefault="00000000" w:rsidRPr="00000000" w14:paraId="00000007">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widowControl w:val="1"/>
        <w:rPr>
          <w:sz w:val="34"/>
          <w:szCs w:val="34"/>
        </w:rPr>
      </w:pPr>
      <w:bookmarkStart w:colFirst="0" w:colLast="0" w:name="_heading=h.6j84ywiffh3"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widowControl w:val="1"/>
        <w:spacing w:after="240" w:before="240" w:lineRule="auto"/>
        <w:rPr>
          <w:sz w:val="24"/>
          <w:szCs w:val="24"/>
        </w:rPr>
      </w:pPr>
      <w:r w:rsidDel="00000000" w:rsidR="00000000" w:rsidRPr="00000000">
        <w:rPr>
          <w:sz w:val="24"/>
          <w:szCs w:val="24"/>
          <w:rtl w:val="0"/>
        </w:rPr>
        <w:t xml:space="preserve">Los autores presentan un estado del arte sobre la evolución del aprendizaje profundo aplicado a la detección automática de enfermedades en cultivos. La revisión evidencia que la agricultura moderna enfrenta desafíos relacionados con el crecimiento poblacional, el cambio climático y las pérdidas ocasionadas por enfermedades vegetales, lo que ha impulsado el desarrollo de soluciones basadas en inteligencia artificial. El estudio muestra la transición desde técnicas tradicionales de procesamiento digital de imágenes hacia arquitecturas avanzadas de Deep Learning, destacando el papel de las Redes Neuronales Convolucionales (CNN), el Transfer Learning, los Vision Transformers (ViT) y los modelos híbridos. Asimismo, se analiza el crecimiento del uso de sensores, drones, imágenes satelitales y dispositivos móviles como fuentes de información para el diagnóstico inteligente de enfermedades en tiempo real.</w:t>
      </w:r>
    </w:p>
    <w:p w:rsidR="00000000" w:rsidDel="00000000" w:rsidP="00000000" w:rsidRDefault="00000000" w:rsidRPr="00000000" w14:paraId="0000000A">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widowControl w:val="1"/>
        <w:rPr>
          <w:sz w:val="34"/>
          <w:szCs w:val="34"/>
        </w:rPr>
      </w:pPr>
      <w:bookmarkStart w:colFirst="0" w:colLast="0" w:name="_heading=h.862ulb5hfhy4"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widowControl w:val="1"/>
        <w:spacing w:after="240" w:before="240" w:lineRule="auto"/>
        <w:rPr>
          <w:sz w:val="24"/>
          <w:szCs w:val="24"/>
        </w:rPr>
      </w:pPr>
      <w:r w:rsidDel="00000000" w:rsidR="00000000" w:rsidRPr="00000000">
        <w:rPr>
          <w:sz w:val="24"/>
          <w:szCs w:val="24"/>
          <w:rtl w:val="0"/>
        </w:rPr>
        <w:t xml:space="preserve">La motivación principal del estudio consiste en integrar y analizar los avances más recientes en inteligencia artificial aplicada al diagnóstico de enfermedades vegetales. Los autores critican que muchas investigaciones se concentran únicamente en mejorar la precisión de clasificación sin considerar aspectos fundamentales como la interpretabilidad de los modelos, el costo computacional, la implementación en dispositivos de borde (</w:t>
      </w:r>
      <w:r w:rsidDel="00000000" w:rsidR="00000000" w:rsidRPr="00000000">
        <w:rPr>
          <w:i w:val="1"/>
          <w:iCs w:val="1"/>
          <w:sz w:val="24"/>
          <w:szCs w:val="24"/>
          <w:rtl w:val="0"/>
        </w:rPr>
        <w:t xml:space="preserve">Edge Devices</w:t>
      </w:r>
      <w:r w:rsidDel="00000000" w:rsidR="00000000" w:rsidRPr="00000000">
        <w:rPr>
          <w:sz w:val="24"/>
          <w:szCs w:val="24"/>
          <w:rtl w:val="0"/>
        </w:rPr>
        <w:t xml:space="preserve">) y la capacidad de generalización frente a condiciones ambientales cambiantes. Además, señalan que una gran parte de los estudios continúa utilizando bases de datos obtenidas en laboratorio, lo que limita la aplicabilidad de los modelos en escenarios agrícolas reales.</w:t>
      </w:r>
    </w:p>
    <w:p w:rsidR="00000000" w:rsidDel="00000000" w:rsidP="00000000" w:rsidRDefault="00000000" w:rsidRPr="00000000" w14:paraId="0000000D">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widowControl w:val="1"/>
        <w:rPr>
          <w:sz w:val="34"/>
          <w:szCs w:val="34"/>
        </w:rPr>
      </w:pPr>
      <w:bookmarkStart w:colFirst="0" w:colLast="0" w:name="_heading=h.3m3ifto7s2p3"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widowControl w:val="1"/>
        <w:spacing w:after="240" w:before="240" w:lineRule="auto"/>
        <w:rPr>
          <w:sz w:val="24"/>
          <w:szCs w:val="24"/>
        </w:rPr>
      </w:pPr>
      <w:r w:rsidDel="00000000" w:rsidR="00000000" w:rsidRPr="00000000">
        <w:rPr>
          <w:sz w:val="24"/>
          <w:szCs w:val="24"/>
          <w:rtl w:val="0"/>
        </w:rPr>
        <w:t xml:space="preserve">El principal aporte del artículo consiste en desarrollar una revisión integral de las tecnologías actuales utilizadas para la detección automática de enfermedades vegetales mediante inteligencia artificial. Los autores clasifican las investigaciones según las arquitecturas empleadas, incluyendo CNN, Vision Transformers, modelos híbridos CNN–ViT, aprendizaje federado, inteligencia artificial explicable (XAI) y Edge AI. Además, analizan los principales conjuntos de datos utilizados, las métricas de evaluación, las estrategias de entrenamiento y las aplicaciones desarrolladas para agricultura de precisión. Finalmente, identifican los principales desafíos científicos y tecnológicos que deberán abordarse durante los próximos años para lograr sistemas más robustos y ampliamente implementables.</w:t>
      </w:r>
    </w:p>
    <w:p w:rsidR="00000000" w:rsidDel="00000000" w:rsidP="00000000" w:rsidRDefault="00000000" w:rsidRPr="00000000" w14:paraId="00000010">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widowControl w:val="1"/>
        <w:rPr>
          <w:sz w:val="34"/>
          <w:szCs w:val="34"/>
        </w:rPr>
      </w:pPr>
      <w:bookmarkStart w:colFirst="0" w:colLast="0" w:name="_heading=h.qo4nf0jh2xc"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widowControl w:val="1"/>
        <w:spacing w:after="240" w:before="240" w:lineRule="auto"/>
        <w:rPr>
          <w:sz w:val="24"/>
          <w:szCs w:val="24"/>
        </w:rPr>
      </w:pPr>
      <w:r w:rsidDel="00000000" w:rsidR="00000000" w:rsidRPr="00000000">
        <w:rPr>
          <w:sz w:val="24"/>
          <w:szCs w:val="24"/>
          <w:rtl w:val="0"/>
        </w:rPr>
        <w:t xml:space="preserve">Los autores realizaron una revisión sistemática de artículos científicos publicados en bases de datos internacionales relacionadas con inteligencia artificial, aprendizaje profundo y agricultura de precisión. Posteriormente organizaron las investigaciones según la arquitectura empleada, el tipo de cultivo, las enfermedades analizadas, el conjunto de datos utilizado y las métricas reportadas. Finalmente, desarrollaron un análisis comparativo que permitió identificar las tendencias tecnológicas predominantes, las fortalezas de cada enfoque y las principales líneas de investigación futuras.</w:t>
      </w:r>
    </w:p>
    <w:p w:rsidR="00000000" w:rsidDel="00000000" w:rsidP="00000000" w:rsidRDefault="00000000" w:rsidRPr="00000000" w14:paraId="00000013">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widowControl w:val="1"/>
        <w:rPr>
          <w:sz w:val="34"/>
          <w:szCs w:val="34"/>
        </w:rPr>
      </w:pPr>
      <w:bookmarkStart w:colFirst="0" w:colLast="0" w:name="_heading=h.9myha44zhxnz"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widowControl w:val="1"/>
        <w:spacing w:after="240" w:before="240" w:lineRule="auto"/>
        <w:rPr>
          <w:sz w:val="24"/>
          <w:szCs w:val="24"/>
        </w:rPr>
      </w:pPr>
      <w:r w:rsidDel="00000000" w:rsidR="00000000" w:rsidRPr="00000000">
        <w:rPr>
          <w:sz w:val="24"/>
          <w:szCs w:val="24"/>
          <w:rtl w:val="0"/>
        </w:rPr>
        <w:t xml:space="preserve">El artículo aborda el problema mediante una síntesis estructurada del conocimiento científico existente sobre Deep Learning aplicado a la agricultura. En lugar de proponer una nueva arquitectura de clasificación, los autores integran los resultados de numerosas investigaciones para evaluar el comportamiento de las diferentes tecnologías disponibles. El análisis considera aspectos relacionados con precisión, eficiencia computacional, interpretabilidad, implementación en tiempo real y capacidad de adaptación a diferentes escenarios agrícolas, proporcionando una visión global del estado actual del campo.</w:t>
      </w:r>
    </w:p>
    <w:p w:rsidR="00000000" w:rsidDel="00000000" w:rsidP="00000000" w:rsidRDefault="00000000" w:rsidRPr="00000000" w14:paraId="00000016">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widowControl w:val="1"/>
        <w:rPr>
          <w:sz w:val="34"/>
          <w:szCs w:val="34"/>
        </w:rPr>
      </w:pPr>
      <w:bookmarkStart w:colFirst="0" w:colLast="0" w:name="_heading=h.nnt0be7hzrxd"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widowControl w:val="1"/>
        <w:spacing w:after="240" w:before="240" w:lineRule="auto"/>
        <w:rPr>
          <w:sz w:val="24"/>
          <w:szCs w:val="24"/>
        </w:rPr>
      </w:pPr>
      <w:r w:rsidDel="00000000" w:rsidR="00000000" w:rsidRPr="00000000">
        <w:rPr>
          <w:b w:val="1"/>
          <w:bCs w:val="1"/>
          <w:sz w:val="24"/>
          <w:szCs w:val="24"/>
          <w:rtl w:val="0"/>
        </w:rPr>
        <w:t xml:space="preserve">Métricas:</w:t>
      </w:r>
      <w:r w:rsidDel="00000000" w:rsidR="00000000" w:rsidRPr="00000000">
        <w:rPr>
          <w:sz w:val="24"/>
          <w:szCs w:val="24"/>
          <w:rtl w:val="0"/>
        </w:rPr>
        <w:t xml:space="preserve"> El estudio recopila las principales métricas utilizadas por los trabajos revisados, incluyendo Accuracy, Precision, Recall, F1-Score, Area Under the Curve (AUC), Mean Average Precision (mAP), Intersection over Union (IoU), Sensitivity y Specificity.</w:t>
      </w:r>
    </w:p>
    <w:p w:rsidR="00000000" w:rsidDel="00000000" w:rsidP="00000000" w:rsidRDefault="00000000" w:rsidRPr="00000000" w14:paraId="00000019">
      <w:pPr>
        <w:widowControl w:val="1"/>
        <w:spacing w:after="240" w:before="240" w:lineRule="auto"/>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La revisión evidencia que las arquitecturas basadas en Vision Transformers y modelos híbridos CNN–ViT alcanzan resultados comparables e incluso superiores a las CNN tradicionales en diversos conjuntos de datos agrícolas. Asimismo, identifica que la combinación de Transfer Learning, aumento de datos e inteligencia artificial explicable mejora significativamente la robustez y confiabilidad de los sistemas de diagnóstico vegetal.</w:t>
      </w:r>
    </w:p>
    <w:p w:rsidR="00000000" w:rsidDel="00000000" w:rsidP="00000000" w:rsidRDefault="00000000" w:rsidRPr="00000000" w14:paraId="0000001A">
      <w:pPr>
        <w:widowControl w:val="1"/>
        <w:spacing w:after="240" w:before="240" w:lineRule="auto"/>
        <w:rPr>
          <w:sz w:val="24"/>
          <w:szCs w:val="24"/>
        </w:rPr>
      </w:pPr>
      <w:r w:rsidDel="00000000" w:rsidR="00000000" w:rsidRPr="00000000">
        <w:rPr>
          <w:b w:val="1"/>
          <w:bCs w:val="1"/>
          <w:sz w:val="24"/>
          <w:szCs w:val="24"/>
          <w:rtl w:val="0"/>
        </w:rPr>
        <w:t xml:space="preserve">Comentarios:</w:t>
      </w:r>
      <w:r w:rsidDel="00000000" w:rsidR="00000000" w:rsidRPr="00000000">
        <w:rPr>
          <w:sz w:val="24"/>
          <w:szCs w:val="24"/>
          <w:rtl w:val="0"/>
        </w:rPr>
        <w:t xml:space="preserve"> Los resultados muestran que la investigación en detección automática de enfermedades vegetales está evolucionando hacia modelos más eficientes, interpretables y adaptables a escenarios reales. Además de incrementar la precisión, las investigaciones recientes priorizan aspectos como la explicabilidad, la privacidad de los datos y la implementación en dispositivos con recursos limitados, elementos esenciales para la agricultura inteligente moderna.</w:t>
      </w:r>
    </w:p>
    <w:p w:rsidR="00000000" w:rsidDel="00000000" w:rsidP="00000000" w:rsidRDefault="00000000" w:rsidRPr="00000000" w14:paraId="0000001B">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widowControl w:val="1"/>
        <w:rPr>
          <w:sz w:val="34"/>
          <w:szCs w:val="34"/>
        </w:rPr>
      </w:pPr>
      <w:bookmarkStart w:colFirst="0" w:colLast="0" w:name="_heading=h.wx15philiji9"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widowControl w:val="1"/>
        <w:spacing w:after="240" w:before="240" w:lineRule="auto"/>
        <w:rPr>
          <w:sz w:val="24"/>
          <w:szCs w:val="24"/>
        </w:rPr>
      </w:pPr>
      <w:r w:rsidDel="00000000" w:rsidR="00000000" w:rsidRPr="00000000">
        <w:rPr>
          <w:sz w:val="24"/>
          <w:szCs w:val="24"/>
          <w:rtl w:val="0"/>
        </w:rPr>
        <w:t xml:space="preserve">El artículo constituye una revisión muy completa y actualizada sobre las tecnologías de inteligencia artificial aplicadas a la detección de enfermedades vegetales. Su principal fortaleza radica en integrar los avances más recientes relacionados con Vision Transformers, Explainable AI, Edge AI y aprendizaje federado, proporcionando una visión amplia del estado del arte. Asimismo, identifica claramente los desafíos pendientes para lograr soluciones agrícolas realmente escalables y aplicables en condiciones de campo.</w:t>
      </w:r>
    </w:p>
    <w:p w:rsidR="00000000" w:rsidDel="00000000" w:rsidP="00000000" w:rsidRDefault="00000000" w:rsidRPr="00000000" w14:paraId="0000001E">
      <w:pPr>
        <w:widowControl w:val="1"/>
        <w:spacing w:after="240" w:before="240" w:lineRule="auto"/>
        <w:rPr>
          <w:sz w:val="24"/>
          <w:szCs w:val="24"/>
        </w:rPr>
      </w:pPr>
      <w:r w:rsidDel="00000000" w:rsidR="00000000" w:rsidRPr="00000000">
        <w:rPr>
          <w:sz w:val="24"/>
          <w:szCs w:val="24"/>
          <w:rtl w:val="0"/>
        </w:rPr>
        <w:t xml:space="preserve">Como limitación, al tratarse de una revisión bibliográfica, el estudio no desarrolla experimentos propios que permitan validar directamente las conclusiones presentadas. Además, muchas de las tecnologías analizadas todavía requieren una mayor validación mediante implementaciones reales en diferentes regiones agrícolas y condiciones ambientales antes de consolidarse como soluciones de uso generalizado.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qNM5Mt2e3v1kpiBd7A+0sEA==">CgMxLjAyDmguZmxlZmhpeGJpaGhhMg1oLjZqODR5d2lmZmgzMg5oLjg2MnVsYjVoZmh5NDIOaC4zbTNpZnRvN3MycDMyDWgucW80bmYwamgyeGMyDmguOW15aGE0NHpoeG56Mg5oLm5udDBiZTdoenJ4ZDIOaC53eDE1cGhpbGlqaTk4AHIhMVM5ZjVYOWJrSVQ4Mk9saGZ0N0p3SEJ2NDV4SnF4eUNI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