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widowControl w:val="1"/>
        <w:spacing w:after="120" w:before="480" w:lineRule="auto"/>
        <w:ind w:left="0"/>
        <w:rPr>
          <w:sz w:val="46"/>
          <w:szCs w:val="46"/>
        </w:rPr>
      </w:pPr>
      <w:bookmarkStart w:colFirst="0" w:colLast="0" w:name="_heading=h.bxkp9ulpwokt" w:id="0"/>
      <w:bookmarkEnd w:id="0"/>
      <w:r w:rsidDel="00000000" w:rsidR="00000000" w:rsidRPr="00000000">
        <w:rPr>
          <w:sz w:val="46"/>
          <w:szCs w:val="46"/>
          <w:rtl w:val="0"/>
        </w:rPr>
        <w:t xml:space="preserve">Plantilla del Estado del Arte</w:t>
      </w:r>
    </w:p>
    <w:p w:rsidR="00000000" w:rsidDel="00000000" w:rsidP="00000000" w:rsidRDefault="00000000" w:rsidRPr="00000000" w14:paraId="00000002">
      <w:pPr>
        <w:widowControl w:val="1"/>
        <w:spacing w:after="240" w:before="240" w:lineRule="auto"/>
        <w:rPr>
          <w:sz w:val="24"/>
          <w:szCs w:val="24"/>
        </w:rPr>
      </w:pPr>
      <w:r w:rsidDel="00000000" w:rsidR="00000000" w:rsidRPr="00000000">
        <w:rPr>
          <w:b w:val="1"/>
          <w:bCs w:val="1"/>
          <w:sz w:val="24"/>
          <w:szCs w:val="24"/>
          <w:rtl w:val="0"/>
        </w:rPr>
        <w:t xml:space="preserve">Author (s):</w:t>
      </w:r>
      <w:r w:rsidDel="00000000" w:rsidR="00000000" w:rsidRPr="00000000">
        <w:rPr>
          <w:sz w:val="24"/>
          <w:szCs w:val="24"/>
          <w:rtl w:val="0"/>
        </w:rPr>
        <w:t xml:space="preserve"> Shafik, M., Ahmed, S., Hassan, M. y colaboradores.</w:t>
      </w:r>
    </w:p>
    <w:p w:rsidR="00000000" w:rsidDel="00000000" w:rsidP="00000000" w:rsidRDefault="00000000" w:rsidRPr="00000000" w14:paraId="00000003">
      <w:pPr>
        <w:widowControl w:val="1"/>
        <w:spacing w:after="240" w:before="240" w:lineRule="auto"/>
        <w:rPr>
          <w:i w:val="1"/>
          <w:iCs w:val="1"/>
          <w:sz w:val="24"/>
          <w:szCs w:val="24"/>
        </w:rPr>
      </w:pPr>
      <w:r w:rsidDel="00000000" w:rsidR="00000000" w:rsidRPr="00000000">
        <w:rPr>
          <w:b w:val="1"/>
          <w:bCs w:val="1"/>
          <w:sz w:val="24"/>
          <w:szCs w:val="24"/>
          <w:rtl w:val="0"/>
        </w:rPr>
        <w:t xml:space="preserve">Title of paper:</w:t>
      </w:r>
      <w:r w:rsidDel="00000000" w:rsidR="00000000" w:rsidRPr="00000000">
        <w:rPr>
          <w:sz w:val="24"/>
          <w:szCs w:val="24"/>
          <w:rtl w:val="0"/>
        </w:rPr>
        <w:t xml:space="preserve"> </w:t>
      </w:r>
      <w:r w:rsidDel="00000000" w:rsidR="00000000" w:rsidRPr="00000000">
        <w:rPr>
          <w:i w:val="1"/>
          <w:iCs w:val="1"/>
          <w:sz w:val="24"/>
          <w:szCs w:val="24"/>
          <w:rtl w:val="0"/>
        </w:rPr>
        <w:t xml:space="preserve">Using Transfer Learning-Based Plant Disease Classification and Detection for Sustainable Agriculture.</w:t>
      </w:r>
    </w:p>
    <w:p w:rsidR="00000000" w:rsidDel="00000000" w:rsidP="00000000" w:rsidRDefault="00000000" w:rsidRPr="00000000" w14:paraId="00000004">
      <w:pPr>
        <w:widowControl w:val="1"/>
        <w:spacing w:after="240" w:before="240" w:lineRule="auto"/>
        <w:rPr>
          <w:sz w:val="24"/>
          <w:szCs w:val="24"/>
        </w:rPr>
      </w:pPr>
      <w:r w:rsidDel="00000000" w:rsidR="00000000" w:rsidRPr="00000000">
        <w:rPr>
          <w:b w:val="1"/>
          <w:bCs w:val="1"/>
          <w:sz w:val="24"/>
          <w:szCs w:val="24"/>
          <w:rtl w:val="0"/>
        </w:rPr>
        <w:t xml:space="preserve">Journal:</w:t>
      </w:r>
      <w:r w:rsidDel="00000000" w:rsidR="00000000" w:rsidRPr="00000000">
        <w:rPr>
          <w:sz w:val="24"/>
          <w:szCs w:val="24"/>
          <w:rtl w:val="0"/>
        </w:rPr>
        <w:t xml:space="preserve"> Frontiers in Plant Science.</w:t>
      </w:r>
    </w:p>
    <w:p w:rsidR="00000000" w:rsidDel="00000000" w:rsidP="00000000" w:rsidRDefault="00000000" w:rsidRPr="00000000" w14:paraId="00000005">
      <w:pPr>
        <w:widowControl w:val="1"/>
        <w:spacing w:after="240" w:before="240" w:lineRule="auto"/>
        <w:rPr>
          <w:sz w:val="24"/>
          <w:szCs w:val="24"/>
        </w:rPr>
      </w:pPr>
      <w:r w:rsidDel="00000000" w:rsidR="00000000" w:rsidRPr="00000000">
        <w:rPr>
          <w:b w:val="1"/>
          <w:bCs w:val="1"/>
          <w:sz w:val="24"/>
          <w:szCs w:val="24"/>
          <w:rtl w:val="0"/>
        </w:rPr>
        <w:t xml:space="preserve">Volume (issue):</w:t>
      </w:r>
      <w:r w:rsidDel="00000000" w:rsidR="00000000" w:rsidRPr="00000000">
        <w:rPr>
          <w:sz w:val="24"/>
          <w:szCs w:val="24"/>
          <w:rtl w:val="0"/>
        </w:rPr>
        <w:t xml:space="preserve"> 15.</w:t>
      </w:r>
    </w:p>
    <w:p w:rsidR="00000000" w:rsidDel="00000000" w:rsidP="00000000" w:rsidRDefault="00000000" w:rsidRPr="00000000" w14:paraId="00000006">
      <w:pPr>
        <w:widowControl w:val="1"/>
        <w:spacing w:after="240" w:before="240" w:lineRule="auto"/>
        <w:rPr>
          <w:sz w:val="24"/>
          <w:szCs w:val="24"/>
        </w:rPr>
      </w:pPr>
      <w:r w:rsidDel="00000000" w:rsidR="00000000" w:rsidRPr="00000000">
        <w:rPr>
          <w:b w:val="1"/>
          <w:bCs w:val="1"/>
          <w:sz w:val="24"/>
          <w:szCs w:val="24"/>
          <w:rtl w:val="0"/>
        </w:rPr>
        <w:t xml:space="preserve">pag – pag (year):</w:t>
      </w:r>
      <w:r w:rsidDel="00000000" w:rsidR="00000000" w:rsidRPr="00000000">
        <w:rPr>
          <w:sz w:val="24"/>
          <w:szCs w:val="24"/>
          <w:rtl w:val="0"/>
        </w:rPr>
        <w:t xml:space="preserve"> 1–22 (2024).</w:t>
      </w:r>
    </w:p>
    <w:p w:rsidR="00000000" w:rsidDel="00000000" w:rsidP="00000000" w:rsidRDefault="00000000" w:rsidRPr="00000000" w14:paraId="00000007">
      <w:pPr>
        <w:widowControl w:val="1"/>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widowControl w:val="1"/>
        <w:rPr>
          <w:sz w:val="34"/>
          <w:szCs w:val="34"/>
        </w:rPr>
      </w:pPr>
      <w:bookmarkStart w:colFirst="0" w:colLast="0" w:name="_heading=h.m1vs2mih82yt" w:id="1"/>
      <w:bookmarkEnd w:id="1"/>
      <w:r w:rsidDel="00000000" w:rsidR="00000000" w:rsidRPr="00000000">
        <w:rPr>
          <w:sz w:val="34"/>
          <w:szCs w:val="34"/>
          <w:rtl w:val="0"/>
        </w:rPr>
        <w:t xml:space="preserve">Estado del arte que hace el autor</w:t>
      </w:r>
    </w:p>
    <w:p w:rsidR="00000000" w:rsidDel="00000000" w:rsidP="00000000" w:rsidRDefault="00000000" w:rsidRPr="00000000" w14:paraId="00000009">
      <w:pPr>
        <w:widowControl w:val="1"/>
        <w:spacing w:after="240" w:before="240" w:lineRule="auto"/>
        <w:rPr>
          <w:sz w:val="24"/>
          <w:szCs w:val="24"/>
        </w:rPr>
      </w:pPr>
      <w:r w:rsidDel="00000000" w:rsidR="00000000" w:rsidRPr="00000000">
        <w:rPr>
          <w:sz w:val="24"/>
          <w:szCs w:val="24"/>
          <w:rtl w:val="0"/>
        </w:rPr>
        <w:t xml:space="preserve">Los autores presentan el estado del arte destacando que la detección temprana de enfermedades vegetales constituye uno de los principales desafíos para garantizar la productividad agrícola y la seguridad alimentaria. La revisión muestra que las Redes Neuronales Convolucionales (CNN) han alcanzado altos niveles de precisión en la clasificación de enfermedades utilizando bases de datos ampliamente reconocidas como PlantVillage. Sin embargo, también se evidencia que los modelos entrenados desde cero requieren grandes volúmenes de datos y elevados recursos computacionales, lo que dificulta su implementación práctica. En este contexto, los autores destacan el crecimiento del </w:t>
      </w:r>
      <w:r w:rsidDel="00000000" w:rsidR="00000000" w:rsidRPr="00000000">
        <w:rPr>
          <w:b w:val="1"/>
          <w:bCs w:val="1"/>
          <w:sz w:val="24"/>
          <w:szCs w:val="24"/>
          <w:rtl w:val="0"/>
        </w:rPr>
        <w:t xml:space="preserve">Transfer Learning</w:t>
      </w:r>
      <w:r w:rsidDel="00000000" w:rsidR="00000000" w:rsidRPr="00000000">
        <w:rPr>
          <w:sz w:val="24"/>
          <w:szCs w:val="24"/>
          <w:rtl w:val="0"/>
        </w:rPr>
        <w:t xml:space="preserve"> como una estrategia que permite reutilizar el conocimiento previamente adquirido por modelos entrenados sobre grandes conjuntos de imágenes, reduciendo el tiempo de entrenamiento y mejorando el rendimiento cuando los datos disponibles son limitados.</w:t>
      </w:r>
    </w:p>
    <w:p w:rsidR="00000000" w:rsidDel="00000000" w:rsidP="00000000" w:rsidRDefault="00000000" w:rsidRPr="00000000" w14:paraId="0000000A">
      <w:pPr>
        <w:widowControl w:val="1"/>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widowControl w:val="1"/>
        <w:rPr>
          <w:sz w:val="34"/>
          <w:szCs w:val="34"/>
        </w:rPr>
      </w:pPr>
      <w:bookmarkStart w:colFirst="0" w:colLast="0" w:name="_heading=h.835764hgwk6m" w:id="2"/>
      <w:bookmarkEnd w:id="2"/>
      <w:r w:rsidDel="00000000" w:rsidR="00000000" w:rsidRPr="00000000">
        <w:rPr>
          <w:sz w:val="34"/>
          <w:szCs w:val="34"/>
          <w:rtl w:val="0"/>
        </w:rPr>
        <w:t xml:space="preserve">Motivación del autor (críticas del autor a otros trabajos)</w:t>
      </w:r>
    </w:p>
    <w:p w:rsidR="00000000" w:rsidDel="00000000" w:rsidP="00000000" w:rsidRDefault="00000000" w:rsidRPr="00000000" w14:paraId="0000000C">
      <w:pPr>
        <w:widowControl w:val="1"/>
        <w:spacing w:after="240" w:before="240" w:lineRule="auto"/>
        <w:rPr>
          <w:sz w:val="24"/>
          <w:szCs w:val="24"/>
        </w:rPr>
      </w:pPr>
      <w:r w:rsidDel="00000000" w:rsidR="00000000" w:rsidRPr="00000000">
        <w:rPr>
          <w:sz w:val="24"/>
          <w:szCs w:val="24"/>
          <w:rtl w:val="0"/>
        </w:rPr>
        <w:t xml:space="preserve">La principal motivación del estudio consiste en desarrollar un sistema de clasificación de enfermedades vegetales que combine una elevada precisión con una mayor eficiencia computacional. Los autores critican que muchas investigaciones anteriores entrenan modelos completamente desde cero o comparan únicamente una o dos arquitecturas de Deep Learning, sin evaluar de forma integral el potencial del Transfer Learning sobre diferentes modelos preentrenados. Asimismo, señalan que diversos estudios presentan resultados obtenidos bajo condiciones experimentales controladas, limitando la capacidad de generalización cuando los modelos son aplicados en escenarios agrícolas reales.</w:t>
      </w:r>
    </w:p>
    <w:p w:rsidR="00000000" w:rsidDel="00000000" w:rsidP="00000000" w:rsidRDefault="00000000" w:rsidRPr="00000000" w14:paraId="0000000D">
      <w:pPr>
        <w:widowControl w:val="1"/>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widowControl w:val="1"/>
        <w:rPr>
          <w:sz w:val="34"/>
          <w:szCs w:val="34"/>
        </w:rPr>
      </w:pPr>
      <w:bookmarkStart w:colFirst="0" w:colLast="0" w:name="_heading=h.6gluyzqumftj" w:id="3"/>
      <w:bookmarkEnd w:id="3"/>
      <w:r w:rsidDel="00000000" w:rsidR="00000000" w:rsidRPr="00000000">
        <w:rPr>
          <w:sz w:val="34"/>
          <w:szCs w:val="34"/>
          <w:rtl w:val="0"/>
        </w:rPr>
        <w:t xml:space="preserve">Descripción del aporte del autor</w:t>
      </w:r>
    </w:p>
    <w:p w:rsidR="00000000" w:rsidDel="00000000" w:rsidP="00000000" w:rsidRDefault="00000000" w:rsidRPr="00000000" w14:paraId="0000000F">
      <w:pPr>
        <w:widowControl w:val="1"/>
        <w:spacing w:after="240" w:before="240" w:lineRule="auto"/>
        <w:rPr>
          <w:sz w:val="24"/>
          <w:szCs w:val="24"/>
        </w:rPr>
      </w:pPr>
      <w:r w:rsidDel="00000000" w:rsidR="00000000" w:rsidRPr="00000000">
        <w:rPr>
          <w:sz w:val="24"/>
          <w:szCs w:val="24"/>
          <w:rtl w:val="0"/>
        </w:rPr>
        <w:t xml:space="preserve">El principal aporte del artículo consiste en desarrollar un sistema de clasificación automática de enfermedades vegetales basado en </w:t>
      </w:r>
      <w:r w:rsidDel="00000000" w:rsidR="00000000" w:rsidRPr="00000000">
        <w:rPr>
          <w:b w:val="1"/>
          <w:bCs w:val="1"/>
          <w:sz w:val="24"/>
          <w:szCs w:val="24"/>
          <w:rtl w:val="0"/>
        </w:rPr>
        <w:t xml:space="preserve">Transfer Learning</w:t>
      </w:r>
      <w:r w:rsidDel="00000000" w:rsidR="00000000" w:rsidRPr="00000000">
        <w:rPr>
          <w:sz w:val="24"/>
          <w:szCs w:val="24"/>
          <w:rtl w:val="0"/>
        </w:rPr>
        <w:t xml:space="preserve">, evaluando múltiples arquitecturas de Deep Learning preentrenadas. Los autores comparan diferentes modelos CNN ampliamente utilizados, analizando su desempeño sobre un mismo conjunto de datos mediante un protocolo experimental uniforme. Además, proponen un procedimiento de ajuste fino (</w:t>
      </w:r>
      <w:r w:rsidDel="00000000" w:rsidR="00000000" w:rsidRPr="00000000">
        <w:rPr>
          <w:i w:val="1"/>
          <w:iCs w:val="1"/>
          <w:sz w:val="24"/>
          <w:szCs w:val="24"/>
          <w:rtl w:val="0"/>
        </w:rPr>
        <w:t xml:space="preserve">Fine-Tuning</w:t>
      </w:r>
      <w:r w:rsidDel="00000000" w:rsidR="00000000" w:rsidRPr="00000000">
        <w:rPr>
          <w:sz w:val="24"/>
          <w:szCs w:val="24"/>
          <w:rtl w:val="0"/>
        </w:rPr>
        <w:t xml:space="preserve">) que optimiza el rendimiento de las arquitecturas seleccionadas, permitiendo alcanzar altos niveles de precisión con un menor costo computacional. El estudio también analiza la aplicabilidad de estos modelos dentro del contexto de la agricultura sostenible, destacando su potencial para apoyar el diagnóstico temprano de enfermedades en cultivos.</w:t>
      </w:r>
    </w:p>
    <w:p w:rsidR="00000000" w:rsidDel="00000000" w:rsidP="00000000" w:rsidRDefault="00000000" w:rsidRPr="00000000" w14:paraId="00000010">
      <w:pPr>
        <w:widowControl w:val="1"/>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widowControl w:val="1"/>
        <w:rPr>
          <w:sz w:val="34"/>
          <w:szCs w:val="34"/>
        </w:rPr>
      </w:pPr>
      <w:bookmarkStart w:colFirst="0" w:colLast="0" w:name="_heading=h.gir31hqk59cd" w:id="4"/>
      <w:bookmarkEnd w:id="4"/>
      <w:r w:rsidDel="00000000" w:rsidR="00000000" w:rsidRPr="00000000">
        <w:rPr>
          <w:sz w:val="34"/>
          <w:szCs w:val="34"/>
          <w:rtl w:val="0"/>
        </w:rPr>
        <w:t xml:space="preserve">Proceso para obtener el aporte que considera el autor</w:t>
      </w:r>
    </w:p>
    <w:p w:rsidR="00000000" w:rsidDel="00000000" w:rsidP="00000000" w:rsidRDefault="00000000" w:rsidRPr="00000000" w14:paraId="00000012">
      <w:pPr>
        <w:widowControl w:val="1"/>
        <w:spacing w:after="240" w:before="240" w:lineRule="auto"/>
        <w:rPr>
          <w:sz w:val="24"/>
          <w:szCs w:val="24"/>
        </w:rPr>
      </w:pPr>
      <w:r w:rsidDel="00000000" w:rsidR="00000000" w:rsidRPr="00000000">
        <w:rPr>
          <w:sz w:val="24"/>
          <w:szCs w:val="24"/>
          <w:rtl w:val="0"/>
        </w:rPr>
        <w:t xml:space="preserve">Los autores utilizaron un conjunto de imágenes de hojas sanas y enfermas pertenecientes a diferentes especies vegetales. Posteriormente realizaron un proceso de preprocesamiento que incluyó normalización, redimensionamiento y técnicas de aumento de datos para incrementar la diversidad del conjunto de entrenamiento. Sobre estas imágenes implementaron diversas arquitecturas CNN preentrenadas mediante </w:t>
      </w:r>
      <w:r w:rsidDel="00000000" w:rsidR="00000000" w:rsidRPr="00000000">
        <w:rPr>
          <w:b w:val="1"/>
          <w:bCs w:val="1"/>
          <w:sz w:val="24"/>
          <w:szCs w:val="24"/>
          <w:rtl w:val="0"/>
        </w:rPr>
        <w:t xml:space="preserve">Transfer Learning</w:t>
      </w:r>
      <w:r w:rsidDel="00000000" w:rsidR="00000000" w:rsidRPr="00000000">
        <w:rPr>
          <w:sz w:val="24"/>
          <w:szCs w:val="24"/>
          <w:rtl w:val="0"/>
        </w:rPr>
        <w:t xml:space="preserve">, reemplazando las capas finales de clasificación y aplicando estrategias de </w:t>
      </w:r>
      <w:r w:rsidDel="00000000" w:rsidR="00000000" w:rsidRPr="00000000">
        <w:rPr>
          <w:b w:val="1"/>
          <w:bCs w:val="1"/>
          <w:sz w:val="24"/>
          <w:szCs w:val="24"/>
          <w:rtl w:val="0"/>
        </w:rPr>
        <w:t xml:space="preserve">Fine-Tuning</w:t>
      </w:r>
      <w:r w:rsidDel="00000000" w:rsidR="00000000" w:rsidRPr="00000000">
        <w:rPr>
          <w:sz w:val="24"/>
          <w:szCs w:val="24"/>
          <w:rtl w:val="0"/>
        </w:rPr>
        <w:t xml:space="preserve"> para adaptar los modelos al problema específico. Finalmente, compararon el desempeño de cada arquitectura utilizando el mismo conjunto de entrenamiento, validación y prueba.</w:t>
      </w:r>
    </w:p>
    <w:p w:rsidR="00000000" w:rsidDel="00000000" w:rsidP="00000000" w:rsidRDefault="00000000" w:rsidRPr="00000000" w14:paraId="00000013">
      <w:pPr>
        <w:widowControl w:val="1"/>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widowControl w:val="1"/>
        <w:rPr>
          <w:sz w:val="34"/>
          <w:szCs w:val="34"/>
        </w:rPr>
      </w:pPr>
      <w:bookmarkStart w:colFirst="0" w:colLast="0" w:name="_heading=h.pvl27qp6shtr" w:id="5"/>
      <w:bookmarkEnd w:id="5"/>
      <w:r w:rsidDel="00000000" w:rsidR="00000000" w:rsidRPr="00000000">
        <w:rPr>
          <w:sz w:val="34"/>
          <w:szCs w:val="34"/>
          <w:rtl w:val="0"/>
        </w:rPr>
        <w:t xml:space="preserve">Proceso para resolver el problema considerado por el autor</w:t>
      </w:r>
    </w:p>
    <w:p w:rsidR="00000000" w:rsidDel="00000000" w:rsidP="00000000" w:rsidRDefault="00000000" w:rsidRPr="00000000" w14:paraId="00000015">
      <w:pPr>
        <w:widowControl w:val="1"/>
        <w:spacing w:after="240" w:before="240" w:lineRule="auto"/>
        <w:rPr>
          <w:sz w:val="24"/>
          <w:szCs w:val="24"/>
        </w:rPr>
      </w:pPr>
      <w:r w:rsidDel="00000000" w:rsidR="00000000" w:rsidRPr="00000000">
        <w:rPr>
          <w:sz w:val="24"/>
          <w:szCs w:val="24"/>
          <w:rtl w:val="0"/>
        </w:rPr>
        <w:t xml:space="preserve">La solución propuesta consiste en aprovechar el conocimiento previamente aprendido por modelos entrenados sobre grandes bases de datos de imágenes generales, adaptándolo posteriormente a la clasificación de enfermedades vegetales mediante Transfer Learning. Durante el entrenamiento se congelan inicialmente las capas encargadas de extraer características generales y posteriormente se reajustan las capas superiores mediante Fine-Tuning. Este procedimiento permite reducir considerablemente el tiempo de entrenamiento, disminuir la necesidad de grandes volúmenes de datos etiquetados y mejorar la capacidad de clasificación del sistema frente a enfermedades vegetales.</w:t>
      </w:r>
    </w:p>
    <w:p w:rsidR="00000000" w:rsidDel="00000000" w:rsidP="00000000" w:rsidRDefault="00000000" w:rsidRPr="00000000" w14:paraId="00000016">
      <w:pPr>
        <w:widowControl w:val="1"/>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widowControl w:val="1"/>
        <w:rPr>
          <w:sz w:val="34"/>
          <w:szCs w:val="34"/>
        </w:rPr>
      </w:pPr>
      <w:bookmarkStart w:colFirst="0" w:colLast="0" w:name="_heading=h.m63fxcxn4f1r" w:id="6"/>
      <w:bookmarkEnd w:id="6"/>
      <w:r w:rsidDel="00000000" w:rsidR="00000000" w:rsidRPr="00000000">
        <w:rPr>
          <w:sz w:val="34"/>
          <w:szCs w:val="34"/>
          <w:rtl w:val="0"/>
        </w:rPr>
        <w:t xml:space="preserve">Métricas que el autor usa y resultado que obtiene. Comentar</w:t>
      </w:r>
    </w:p>
    <w:p w:rsidR="00000000" w:rsidDel="00000000" w:rsidP="00000000" w:rsidRDefault="00000000" w:rsidRPr="00000000" w14:paraId="00000018">
      <w:pPr>
        <w:widowControl w:val="1"/>
        <w:spacing w:after="240" w:before="240" w:lineRule="auto"/>
        <w:rPr>
          <w:sz w:val="24"/>
          <w:szCs w:val="24"/>
        </w:rPr>
      </w:pPr>
      <w:r w:rsidDel="00000000" w:rsidR="00000000" w:rsidRPr="00000000">
        <w:rPr>
          <w:b w:val="1"/>
          <w:bCs w:val="1"/>
          <w:sz w:val="24"/>
          <w:szCs w:val="24"/>
          <w:rtl w:val="0"/>
        </w:rPr>
        <w:t xml:space="preserve">Métricas:</w:t>
      </w:r>
      <w:r w:rsidDel="00000000" w:rsidR="00000000" w:rsidRPr="00000000">
        <w:rPr>
          <w:sz w:val="24"/>
          <w:szCs w:val="24"/>
          <w:rtl w:val="0"/>
        </w:rPr>
        <w:t xml:space="preserve"> Accuracy, Precision, Recall, F1-Score, Matriz de Confusión y curvas de entrenamiento y validación.</w:t>
      </w:r>
    </w:p>
    <w:p w:rsidR="00000000" w:rsidDel="00000000" w:rsidP="00000000" w:rsidRDefault="00000000" w:rsidRPr="00000000" w14:paraId="00000019">
      <w:pPr>
        <w:widowControl w:val="1"/>
        <w:spacing w:after="240" w:before="240" w:lineRule="auto"/>
        <w:rPr>
          <w:sz w:val="24"/>
          <w:szCs w:val="24"/>
        </w:rPr>
      </w:pPr>
      <w:r w:rsidDel="00000000" w:rsidR="00000000" w:rsidRPr="00000000">
        <w:rPr>
          <w:b w:val="1"/>
          <w:bCs w:val="1"/>
          <w:sz w:val="24"/>
          <w:szCs w:val="24"/>
          <w:rtl w:val="0"/>
        </w:rPr>
        <w:t xml:space="preserve">Resultados:</w:t>
      </w:r>
      <w:r w:rsidDel="00000000" w:rsidR="00000000" w:rsidRPr="00000000">
        <w:rPr>
          <w:sz w:val="24"/>
          <w:szCs w:val="24"/>
          <w:rtl w:val="0"/>
        </w:rPr>
        <w:t xml:space="preserve"> El modelo basado en </w:t>
      </w:r>
      <w:r w:rsidDel="00000000" w:rsidR="00000000" w:rsidRPr="00000000">
        <w:rPr>
          <w:b w:val="1"/>
          <w:bCs w:val="1"/>
          <w:sz w:val="24"/>
          <w:szCs w:val="24"/>
          <w:rtl w:val="0"/>
        </w:rPr>
        <w:t xml:space="preserve">Transfer Learning</w:t>
      </w:r>
      <w:r w:rsidDel="00000000" w:rsidR="00000000" w:rsidRPr="00000000">
        <w:rPr>
          <w:sz w:val="24"/>
          <w:szCs w:val="24"/>
          <w:rtl w:val="0"/>
        </w:rPr>
        <w:t xml:space="preserve"> alcanzó niveles de precisión cercanos al </w:t>
      </w:r>
      <w:r w:rsidDel="00000000" w:rsidR="00000000" w:rsidRPr="00000000">
        <w:rPr>
          <w:b w:val="1"/>
          <w:bCs w:val="1"/>
          <w:sz w:val="24"/>
          <w:szCs w:val="24"/>
          <w:rtl w:val="0"/>
        </w:rPr>
        <w:t xml:space="preserve">98–99 %</w:t>
      </w:r>
      <w:r w:rsidDel="00000000" w:rsidR="00000000" w:rsidRPr="00000000">
        <w:rPr>
          <w:sz w:val="24"/>
          <w:szCs w:val="24"/>
          <w:rtl w:val="0"/>
        </w:rPr>
        <w:t xml:space="preserve">, dependiendo de la arquitectura evaluada. Los resultados mostraron mejoras significativas respecto al entrenamiento desde cero, especialmente en términos de velocidad de convergencia y estabilidad durante el proceso de aprendizaje. Asimismo, se observaron elevados valores de Precision, Recall y F1-Score en la clasificación de múltiples enfermedades vegetales.</w:t>
      </w:r>
    </w:p>
    <w:p w:rsidR="00000000" w:rsidDel="00000000" w:rsidP="00000000" w:rsidRDefault="00000000" w:rsidRPr="00000000" w14:paraId="0000001A">
      <w:pPr>
        <w:widowControl w:val="1"/>
        <w:spacing w:after="240" w:before="240" w:lineRule="auto"/>
        <w:rPr>
          <w:sz w:val="24"/>
          <w:szCs w:val="24"/>
        </w:rPr>
      </w:pPr>
      <w:r w:rsidDel="00000000" w:rsidR="00000000" w:rsidRPr="00000000">
        <w:rPr>
          <w:b w:val="1"/>
          <w:bCs w:val="1"/>
          <w:sz w:val="24"/>
          <w:szCs w:val="24"/>
          <w:rtl w:val="0"/>
        </w:rPr>
        <w:t xml:space="preserve">Comentarios:</w:t>
      </w:r>
      <w:r w:rsidDel="00000000" w:rsidR="00000000" w:rsidRPr="00000000">
        <w:rPr>
          <w:sz w:val="24"/>
          <w:szCs w:val="24"/>
          <w:rtl w:val="0"/>
        </w:rPr>
        <w:t xml:space="preserve"> Los resultados confirman que el Transfer Learning constituye una de las estrategias más eficientes para desarrollar sistemas inteligentes de diagnóstico agrícola cuando los conjuntos de datos disponibles son limitados. Además de incrementar la precisión, esta metodología reduce considerablemente el costo computacional y facilita la implementación práctica de modelos de Deep Learning en aplicaciones agrícolas.</w:t>
      </w:r>
    </w:p>
    <w:p w:rsidR="00000000" w:rsidDel="00000000" w:rsidP="00000000" w:rsidRDefault="00000000" w:rsidRPr="00000000" w14:paraId="0000001B">
      <w:pPr>
        <w:widowControl w:val="1"/>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widowControl w:val="1"/>
        <w:rPr>
          <w:sz w:val="34"/>
          <w:szCs w:val="34"/>
        </w:rPr>
      </w:pPr>
      <w:bookmarkStart w:colFirst="0" w:colLast="0" w:name="_heading=h.z9gfhaleqcc9" w:id="7"/>
      <w:bookmarkEnd w:id="7"/>
      <w:r w:rsidDel="00000000" w:rsidR="00000000" w:rsidRPr="00000000">
        <w:rPr>
          <w:sz w:val="34"/>
          <w:szCs w:val="34"/>
          <w:rtl w:val="0"/>
        </w:rPr>
        <w:t xml:space="preserve">Observaciones y/o críticas suyas al artículo</w:t>
      </w:r>
    </w:p>
    <w:p w:rsidR="00000000" w:rsidDel="00000000" w:rsidP="00000000" w:rsidRDefault="00000000" w:rsidRPr="00000000" w14:paraId="0000001D">
      <w:pPr>
        <w:widowControl w:val="1"/>
        <w:spacing w:after="240" w:before="240" w:lineRule="auto"/>
        <w:rPr>
          <w:sz w:val="24"/>
          <w:szCs w:val="24"/>
        </w:rPr>
      </w:pPr>
      <w:r w:rsidDel="00000000" w:rsidR="00000000" w:rsidRPr="00000000">
        <w:rPr>
          <w:sz w:val="24"/>
          <w:szCs w:val="24"/>
          <w:rtl w:val="0"/>
        </w:rPr>
        <w:t xml:space="preserve">El artículo representa una contribución importante para la detección automática de enfermedades vegetales al demostrar experimentalmente las ventajas del Transfer Learning sobre diferentes arquitecturas de Deep Learning. Su principal fortaleza consiste en realizar una comparación sistemática entre múltiples modelos utilizando un mismo protocolo experimental, lo que facilita identificar las arquitecturas con mejor desempeño para aplicaciones agrícolas. No obstante, el estudio presenta algunas limitaciones. La mayor parte de la evaluación se desarrolla utilizando bases de datos ampliamente conocidas, por lo que sería recomendable ampliar la validación mediante imágenes obtenidas directamente en condiciones reales de cultivo. Asimismo, aunque el trabajo resalta la importancia de la agricultura sostenible, no profundiza en aspectos relacionados con la implementación de los modelos en dispositivos móviles o sistemas de monitoreo en tiempo real.</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6840" w:w="11910" w:orient="portrait"/>
      <w:pgMar w:bottom="280" w:top="1320" w:left="1275" w:right="155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PE"/>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1" w:lineRule="auto"/>
      <w:ind w:left="1"/>
      <w:jc w:val="center"/>
    </w:pPr>
    <w:rPr>
      <w:b w:val="1"/>
      <w:bCs w:val="1"/>
      <w:i w:val="1"/>
      <w:i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iI7ZjZ7oN7uZ9bQjqikHRtskTg==">CgMxLjAyDmguYnhrcDl1bHB3b2t0Mg5oLm0xdnMybWloODJ5dDIOaC44MzU3NjRoZ3drNm0yDmguNmdsdXl6cXVtZnRqMg5oLmdpcjMxaHFrNTljZDIOaC5wdmwyN3FwNnNodHIyDmgubTYzZnhjeG40ZjFyMg5oLno5Z2ZoYWxlcWNjOTgAciExc2VpQWxWVS1iN2JsVnlISEtsbWw3T0I5Vkx4QlBFbEI=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2023-01-04T00:00:00Z</vt:lpwstr>
  </property>
  <property fmtid="{D5CDD505-2E9C-101B-9397-08002B2CF9AE}" pid="3" name="Creator">
    <vt:lpwstr>Microsoft® Word 2019</vt:lpwstr>
  </property>
  <property fmtid="{D5CDD505-2E9C-101B-9397-08002B2CF9AE}" pid="4" name="LastSaved">
    <vt:lpwstr>2025-02-25T00:00:00Z</vt:lpwstr>
  </property>
  <property fmtid="{D5CDD505-2E9C-101B-9397-08002B2CF9AE}" pid="5" name="Producer">
    <vt:lpwstr>Microsoft® Word 2019</vt:lpwstr>
  </property>
</Properties>
</file>