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ind w:firstLine="143"/>
        <w:rPr>
          <w:sz w:val="46"/>
          <w:szCs w:val="46"/>
        </w:rPr>
      </w:pPr>
      <w:bookmarkStart w:colFirst="0" w:colLast="0" w:name="_heading=h.3zfcqpcsbsbe" w:id="0"/>
      <w:bookmarkEnd w:id="0"/>
      <w:r w:rsidDel="00000000" w:rsidR="00000000" w:rsidRPr="00000000">
        <w:rPr>
          <w:sz w:val="46"/>
          <w:szCs w:val="46"/>
          <w:rtl w:val="0"/>
        </w:rPr>
        <w:t xml:space="preserve">Plantilla del Estado del Arte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Author (s):</w:t>
      </w:r>
      <w:r w:rsidDel="00000000" w:rsidR="00000000" w:rsidRPr="00000000">
        <w:rPr>
          <w:rtl w:val="0"/>
        </w:rPr>
        <w:t xml:space="preserve"> Maurya, R., Singh, P., Verma, A. y colaboradores.</w:t>
      </w:r>
    </w:p>
    <w:p w:rsidR="00000000" w:rsidDel="00000000" w:rsidP="00000000" w:rsidRDefault="00000000" w:rsidRPr="00000000" w14:paraId="00000003">
      <w:pPr>
        <w:spacing w:after="240" w:before="240" w:lineRule="auto"/>
        <w:rPr>
          <w:i w:val="1"/>
          <w:iCs w:val="1"/>
        </w:rPr>
      </w:pPr>
      <w:r w:rsidDel="00000000" w:rsidR="00000000" w:rsidRPr="00000000">
        <w:rPr>
          <w:b w:val="1"/>
          <w:bCs w:val="1"/>
          <w:rtl w:val="0"/>
        </w:rPr>
        <w:t xml:space="preserve">Title of paper:</w:t>
      </w:r>
      <w:r w:rsidDel="00000000" w:rsidR="00000000" w:rsidRPr="00000000">
        <w:rPr>
          <w:rtl w:val="0"/>
        </w:rPr>
        <w:t xml:space="preserve"> </w:t>
      </w:r>
      <w:r w:rsidDel="00000000" w:rsidR="00000000" w:rsidRPr="00000000">
        <w:rPr>
          <w:i w:val="1"/>
          <w:iCs w:val="1"/>
          <w:rtl w:val="0"/>
        </w:rPr>
        <w:t xml:space="preserve">A Lightweight Meta-Ensemble Approach for Plant Disease Detection Suitable for IoT-Based Environments.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Journal:</w:t>
      </w:r>
      <w:r w:rsidDel="00000000" w:rsidR="00000000" w:rsidRPr="00000000">
        <w:rPr>
          <w:rtl w:val="0"/>
        </w:rPr>
        <w:t xml:space="preserve"> IEEE Access.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Volume (issue):</w:t>
      </w:r>
      <w:r w:rsidDel="00000000" w:rsidR="00000000" w:rsidRPr="00000000">
        <w:rPr>
          <w:rtl w:val="0"/>
        </w:rPr>
        <w:t xml:space="preserve"> 12.</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pag – pag (year):</w:t>
      </w:r>
      <w:r w:rsidDel="00000000" w:rsidR="00000000" w:rsidRPr="00000000">
        <w:rPr>
          <w:rtl w:val="0"/>
        </w:rPr>
        <w:t xml:space="preserve"> 2024.</w:t>
      </w:r>
    </w:p>
    <w:p w:rsidR="00000000" w:rsidDel="00000000" w:rsidP="00000000" w:rsidRDefault="00000000" w:rsidRPr="00000000" w14:paraId="00000007">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ind w:left="143" w:firstLine="0"/>
        <w:rPr>
          <w:sz w:val="34"/>
          <w:szCs w:val="34"/>
        </w:rPr>
      </w:pPr>
      <w:bookmarkStart w:colFirst="0" w:colLast="0" w:name="_heading=h.lufm1xyrgn4k" w:id="1"/>
      <w:bookmarkEnd w:id="1"/>
      <w:r w:rsidDel="00000000" w:rsidR="00000000" w:rsidRPr="00000000">
        <w:rPr>
          <w:sz w:val="34"/>
          <w:szCs w:val="34"/>
          <w:rtl w:val="0"/>
        </w:rPr>
        <w:t xml:space="preserve">Estado del arte que hace el autor</w:t>
      </w:r>
    </w:p>
    <w:p w:rsidR="00000000" w:rsidDel="00000000" w:rsidP="00000000" w:rsidRDefault="00000000" w:rsidRPr="00000000" w14:paraId="00000009">
      <w:pPr>
        <w:spacing w:after="240" w:before="240" w:lineRule="auto"/>
        <w:rPr/>
      </w:pPr>
      <w:r w:rsidDel="00000000" w:rsidR="00000000" w:rsidRPr="00000000">
        <w:rPr>
          <w:rtl w:val="0"/>
        </w:rPr>
        <w:t xml:space="preserve">Los autores presentan el estado del arte destacando que las arquitecturas de aprendizaje profundo han alcanzado altos niveles de precisión en la detección automática de enfermedades vegetales; sin embargo, la mayoría de estos modelos requieren una elevada capacidad computacional y una gran cantidad de parámetros, dificultando su implementación en dispositivos IoT y sistemas de agricultura inteligente. La revisión evidencia que modelos como ResNet, DenseNet, EfficientNet y Vision Transformers ofrecen excelentes resultados de clasificación, pero presentan limitaciones cuando deben ejecutarse en microcontroladores, dispositivos embebidos o sensores inteligentes. En este contexto, los autores identifican una tendencia creciente hacia el desarrollo de modelos ligeros capaces de mantener un adecuado equilibrio entre precisión, velocidad de procesamiento y consumo de recursos computacionales.</w:t>
      </w:r>
    </w:p>
    <w:p w:rsidR="00000000" w:rsidDel="00000000" w:rsidP="00000000" w:rsidRDefault="00000000" w:rsidRPr="00000000" w14:paraId="0000000A">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ind w:left="143" w:firstLine="0"/>
        <w:rPr>
          <w:sz w:val="34"/>
          <w:szCs w:val="34"/>
        </w:rPr>
      </w:pPr>
      <w:bookmarkStart w:colFirst="0" w:colLast="0" w:name="_heading=h.b5buo3lyiesn" w:id="2"/>
      <w:bookmarkEnd w:id="2"/>
      <w:r w:rsidDel="00000000" w:rsidR="00000000" w:rsidRPr="00000000">
        <w:rPr>
          <w:sz w:val="34"/>
          <w:szCs w:val="34"/>
          <w:rtl w:val="0"/>
        </w:rPr>
        <w:t xml:space="preserve">Motivación del autor (críticas del autor a otros trabajos)</w:t>
      </w:r>
    </w:p>
    <w:p w:rsidR="00000000" w:rsidDel="00000000" w:rsidP="00000000" w:rsidRDefault="00000000" w:rsidRPr="00000000" w14:paraId="0000000C">
      <w:pPr>
        <w:spacing w:after="240" w:before="240" w:lineRule="auto"/>
        <w:rPr/>
      </w:pPr>
      <w:r w:rsidDel="00000000" w:rsidR="00000000" w:rsidRPr="00000000">
        <w:rPr>
          <w:rtl w:val="0"/>
        </w:rPr>
        <w:t xml:space="preserve">La principal motivación del estudio consiste en diseñar una arquitectura eficiente para la detección de enfermedades vegetales que pueda implementarse en dispositivos IoT con recursos limitados. Los autores critican que muchos modelos actuales priorizan únicamente la precisión de clasificación, ignorando aspectos como el tamaño del modelo, el consumo energético y el tiempo de inferencia. Asimismo, señalan que diversas investigaciones desarrollan modelos individuales sin aprovechar las ventajas que ofrecen los métodos de ensamblado (</w:t>
      </w:r>
      <w:r w:rsidDel="00000000" w:rsidR="00000000" w:rsidRPr="00000000">
        <w:rPr>
          <w:i w:val="1"/>
          <w:iCs w:val="1"/>
          <w:rtl w:val="0"/>
        </w:rPr>
        <w:t xml:space="preserve">Ensemble Learning</w:t>
      </w:r>
      <w:r w:rsidDel="00000000" w:rsidR="00000000" w:rsidRPr="00000000">
        <w:rPr>
          <w:rtl w:val="0"/>
        </w:rPr>
        <w:t xml:space="preserve">), los cuales permiten combinar múltiples clasificadores para incrementar la robustez del sistema sin aumentar excesivamente el costo computacional.</w:t>
      </w:r>
    </w:p>
    <w:p w:rsidR="00000000" w:rsidDel="00000000" w:rsidP="00000000" w:rsidRDefault="00000000" w:rsidRPr="00000000" w14:paraId="0000000D">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ind w:left="143" w:firstLine="0"/>
        <w:rPr>
          <w:sz w:val="34"/>
          <w:szCs w:val="34"/>
        </w:rPr>
      </w:pPr>
      <w:bookmarkStart w:colFirst="0" w:colLast="0" w:name="_heading=h.3yvwb2kfvrex" w:id="3"/>
      <w:bookmarkEnd w:id="3"/>
      <w:r w:rsidDel="00000000" w:rsidR="00000000" w:rsidRPr="00000000">
        <w:rPr>
          <w:sz w:val="34"/>
          <w:szCs w:val="34"/>
          <w:rtl w:val="0"/>
        </w:rPr>
        <w:t xml:space="preserve">Descripción del aporte del autor</w:t>
      </w:r>
    </w:p>
    <w:p w:rsidR="00000000" w:rsidDel="00000000" w:rsidP="00000000" w:rsidRDefault="00000000" w:rsidRPr="00000000" w14:paraId="0000000F">
      <w:pPr>
        <w:spacing w:after="240" w:before="240" w:lineRule="auto"/>
        <w:rPr/>
      </w:pPr>
      <w:r w:rsidDel="00000000" w:rsidR="00000000" w:rsidRPr="00000000">
        <w:rPr>
          <w:rtl w:val="0"/>
        </w:rPr>
        <w:t xml:space="preserve">El principal aporte del artículo consiste en desarrollar una </w:t>
      </w:r>
      <w:r w:rsidDel="00000000" w:rsidR="00000000" w:rsidRPr="00000000">
        <w:rPr>
          <w:b w:val="1"/>
          <w:bCs w:val="1"/>
          <w:rtl w:val="0"/>
        </w:rPr>
        <w:t xml:space="preserve">Meta-Ensemble ligera</w:t>
      </w:r>
      <w:r w:rsidDel="00000000" w:rsidR="00000000" w:rsidRPr="00000000">
        <w:rPr>
          <w:rtl w:val="0"/>
        </w:rPr>
        <w:t xml:space="preserve"> especialmente diseñada para aplicaciones agrícolas basadas en Internet de las Cosas (IoT). La propuesta combina diferentes modelos de aprendizaje profundo de bajo costo computacional mediante una estrategia de ensamblado optimizada, permitiendo mejorar la precisión del diagnóstico sin incrementar significativamente el número de parámetros del sistema. Además, los autores demuestran que esta arquitectura puede ejecutarse eficientemente sobre dispositivos con capacidad de procesamiento limitada, favoreciendo su implementación en plataformas de monitoreo agrícola inteligente.</w:t>
      </w:r>
    </w:p>
    <w:p w:rsidR="00000000" w:rsidDel="00000000" w:rsidP="00000000" w:rsidRDefault="00000000" w:rsidRPr="00000000" w14:paraId="00000010">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ind w:left="143" w:firstLine="0"/>
        <w:rPr>
          <w:sz w:val="34"/>
          <w:szCs w:val="34"/>
        </w:rPr>
      </w:pPr>
      <w:bookmarkStart w:colFirst="0" w:colLast="0" w:name="_heading=h.tppwbbohx1k1" w:id="4"/>
      <w:bookmarkEnd w:id="4"/>
      <w:r w:rsidDel="00000000" w:rsidR="00000000" w:rsidRPr="00000000">
        <w:rPr>
          <w:sz w:val="34"/>
          <w:szCs w:val="34"/>
          <w:rtl w:val="0"/>
        </w:rPr>
        <w:t xml:space="preserve">Proceso para obtener el aporte que considera el autor</w:t>
      </w:r>
    </w:p>
    <w:p w:rsidR="00000000" w:rsidDel="00000000" w:rsidP="00000000" w:rsidRDefault="00000000" w:rsidRPr="00000000" w14:paraId="00000012">
      <w:pPr>
        <w:spacing w:after="240" w:before="240" w:lineRule="auto"/>
        <w:rPr/>
      </w:pPr>
      <w:r w:rsidDel="00000000" w:rsidR="00000000" w:rsidRPr="00000000">
        <w:rPr>
          <w:rtl w:val="0"/>
        </w:rPr>
        <w:t xml:space="preserve">Los autores utilizaron conjuntos de imágenes agrícolas correspondientes a diferentes enfermedades vegetales y realizaron un proceso de preprocesamiento que incluyó normalización, redimensionamiento y técnicas de aumento de datos. Posteriormente entrenaron varios modelos ligeros de Deep Learning que posteriormente fueron integrados mediante una arquitectura </w:t>
      </w:r>
      <w:r w:rsidDel="00000000" w:rsidR="00000000" w:rsidRPr="00000000">
        <w:rPr>
          <w:b w:val="1"/>
          <w:bCs w:val="1"/>
          <w:rtl w:val="0"/>
        </w:rPr>
        <w:t xml:space="preserve">Meta-Ensemble</w:t>
      </w:r>
      <w:r w:rsidDel="00000000" w:rsidR="00000000" w:rsidRPr="00000000">
        <w:rPr>
          <w:rtl w:val="0"/>
        </w:rPr>
        <w:t xml:space="preserve"> encargada de combinar las predicciones individuales de cada clasificador. Finalmente, el sistema fue evaluado utilizando diferentes métricas de clasificación y comparado con arquitecturas tradicionales ampliamente utilizadas en la literatura científica.</w:t>
      </w:r>
    </w:p>
    <w:p w:rsidR="00000000" w:rsidDel="00000000" w:rsidP="00000000" w:rsidRDefault="00000000" w:rsidRPr="00000000" w14:paraId="00000013">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ind w:left="143" w:firstLine="0"/>
        <w:rPr>
          <w:sz w:val="34"/>
          <w:szCs w:val="34"/>
        </w:rPr>
      </w:pPr>
      <w:bookmarkStart w:colFirst="0" w:colLast="0" w:name="_heading=h.jbjb8hps66q7" w:id="5"/>
      <w:bookmarkEnd w:id="5"/>
      <w:r w:rsidDel="00000000" w:rsidR="00000000" w:rsidRPr="00000000">
        <w:rPr>
          <w:sz w:val="34"/>
          <w:szCs w:val="34"/>
          <w:rtl w:val="0"/>
        </w:rPr>
        <w:t xml:space="preserve">Proceso para resolver el problema considerado por el autor</w:t>
      </w:r>
    </w:p>
    <w:p w:rsidR="00000000" w:rsidDel="00000000" w:rsidP="00000000" w:rsidRDefault="00000000" w:rsidRPr="00000000" w14:paraId="00000015">
      <w:pPr>
        <w:spacing w:after="240" w:before="240" w:lineRule="auto"/>
        <w:rPr/>
      </w:pPr>
      <w:r w:rsidDel="00000000" w:rsidR="00000000" w:rsidRPr="00000000">
        <w:rPr>
          <w:rtl w:val="0"/>
        </w:rPr>
        <w:t xml:space="preserve">La solución propuesta consiste en combinar múltiples modelos ligeros mediante un mecanismo de ensamblado que aprovecha las fortalezas individuales de cada clasificador. Durante la fase de inferencia, cada modelo genera una predicción independiente sobre la imagen analizada y posteriormente un meta-clasificador integra dichas predicciones para obtener el diagnóstico final. Este procedimiento incrementa la robustez del sistema frente a variaciones presentes en las imágenes agrícolas y reduce el riesgo de errores individuales de clasificación, manteniendo simultáneamente un bajo consumo de recursos computacionales.</w:t>
      </w:r>
    </w:p>
    <w:p w:rsidR="00000000" w:rsidDel="00000000" w:rsidP="00000000" w:rsidRDefault="00000000" w:rsidRPr="00000000" w14:paraId="00000016">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ind w:left="143" w:firstLine="0"/>
        <w:rPr>
          <w:sz w:val="34"/>
          <w:szCs w:val="34"/>
        </w:rPr>
      </w:pPr>
      <w:bookmarkStart w:colFirst="0" w:colLast="0" w:name="_heading=h.lllgolcn4fem" w:id="6"/>
      <w:bookmarkEnd w:id="6"/>
      <w:r w:rsidDel="00000000" w:rsidR="00000000" w:rsidRPr="00000000">
        <w:rPr>
          <w:sz w:val="34"/>
          <w:szCs w:val="34"/>
          <w:rtl w:val="0"/>
        </w:rPr>
        <w:t xml:space="preserve">Métricas que el autor usa y resultado que obtiene. Comentar</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Métricas:</w:t>
      </w:r>
      <w:r w:rsidDel="00000000" w:rsidR="00000000" w:rsidRPr="00000000">
        <w:rPr>
          <w:rtl w:val="0"/>
        </w:rPr>
        <w:t xml:space="preserve"> Accuracy, Precision, Recall, F1-Score, tamaño del modelo, tiempo de inferencia, consumo de memoria y número de parámetros.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Resultados:</w:t>
      </w:r>
      <w:r w:rsidDel="00000000" w:rsidR="00000000" w:rsidRPr="00000000">
        <w:rPr>
          <w:rtl w:val="0"/>
        </w:rPr>
        <w:t xml:space="preserve"> La arquitectura </w:t>
      </w:r>
      <w:r w:rsidDel="00000000" w:rsidR="00000000" w:rsidRPr="00000000">
        <w:rPr>
          <w:b w:val="1"/>
          <w:bCs w:val="1"/>
          <w:rtl w:val="0"/>
        </w:rPr>
        <w:t xml:space="preserve">Meta-Ensemble</w:t>
      </w:r>
      <w:r w:rsidDel="00000000" w:rsidR="00000000" w:rsidRPr="00000000">
        <w:rPr>
          <w:rtl w:val="0"/>
        </w:rPr>
        <w:t xml:space="preserve"> alcanzó una precisión aproximada del </w:t>
      </w:r>
      <w:r w:rsidDel="00000000" w:rsidR="00000000" w:rsidRPr="00000000">
        <w:rPr>
          <w:b w:val="1"/>
          <w:bCs w:val="1"/>
          <w:rtl w:val="0"/>
        </w:rPr>
        <w:t xml:space="preserve">98.4 %</w:t>
      </w:r>
      <w:r w:rsidDel="00000000" w:rsidR="00000000" w:rsidRPr="00000000">
        <w:rPr>
          <w:rtl w:val="0"/>
        </w:rPr>
        <w:t xml:space="preserve"> sobre los conjuntos de datos evaluados, manteniendo un número reducido de parámetros y tiempos de inferencia adecuados para dispositivos IoT. Asimismo, el sistema presentó elevados valores de Precision, Recall y F1-Score, demostrando un comportamiento estable incluso bajo restricciones computacionales.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Comentarios:</w:t>
      </w:r>
      <w:r w:rsidDel="00000000" w:rsidR="00000000" w:rsidRPr="00000000">
        <w:rPr>
          <w:rtl w:val="0"/>
        </w:rPr>
        <w:t xml:space="preserve"> Los resultados evidencian que el uso de métodos de ensamblado ligeros constituye una estrategia efectiva para mejorar la precisión sin incrementar significativamente el costo computacional. Este equilibrio entre rendimiento y eficiencia convierte a la propuesta en una alternativa atractiva para aplicaciones agrícolas que requieren procesamiento en tiempo real sobre dispositivos de borde.</w:t>
      </w:r>
    </w:p>
    <w:p w:rsidR="00000000" w:rsidDel="00000000" w:rsidP="00000000" w:rsidRDefault="00000000" w:rsidRPr="00000000" w14:paraId="0000001B">
      <w:pPr>
        <w:ind w:left="143"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ind w:left="143" w:firstLine="0"/>
        <w:rPr>
          <w:sz w:val="34"/>
          <w:szCs w:val="34"/>
        </w:rPr>
      </w:pPr>
      <w:bookmarkStart w:colFirst="0" w:colLast="0" w:name="_heading=h.a5v00ne20c86" w:id="7"/>
      <w:bookmarkEnd w:id="7"/>
      <w:r w:rsidDel="00000000" w:rsidR="00000000" w:rsidRPr="00000000">
        <w:rPr>
          <w:sz w:val="34"/>
          <w:szCs w:val="34"/>
          <w:rtl w:val="0"/>
        </w:rPr>
        <w:t xml:space="preserve">Observaciones y/o críticas suyas al artículo</w:t>
      </w:r>
    </w:p>
    <w:p w:rsidR="00000000" w:rsidDel="00000000" w:rsidP="00000000" w:rsidRDefault="00000000" w:rsidRPr="00000000" w14:paraId="0000001D">
      <w:pPr>
        <w:spacing w:after="240" w:before="240" w:lineRule="auto"/>
        <w:rPr/>
      </w:pPr>
      <w:r w:rsidDel="00000000" w:rsidR="00000000" w:rsidRPr="00000000">
        <w:rPr>
          <w:rtl w:val="0"/>
        </w:rPr>
        <w:t xml:space="preserve">El artículo representa una contribución importante para la agricultura inteligente al demostrar que es posible combinar múltiples modelos de Deep Learning manteniendo una arquitectura ligera y eficiente. Su principal fortaleza consiste en equilibrar adecuadamente precisión, velocidad y consumo de recursos, aspectos fundamentales para la implementación de sistemas IoT en zonas agrícolas. No obstante, el estudio presenta algunas limitaciones. La evaluación experimental se centra principalmente en conjuntos de datos públicos ampliamente utilizados, por lo que sería recomendable validar la arquitectura utilizando imágenes capturadas directamente en diferentes regiones agrícolas y bajo diversas condiciones ambientales. Asimismo, futuras investigaciones podrían analizar el comportamiento del sistema frente a nuevos cultivos y enfermedades para incrementar su capacidad de generalización.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left"/>
        <w:rPr>
          <w:b w:val="1"/>
          <w:bCs w:val="1"/>
          <w:u w:val="singl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v0IAVH3HHMOy3Z3m8lhv4GOnmA==">CgMxLjAyDmguM3pmY3FwY3Nic2JlMg5oLmx1Zm0xeHlyZ240azIOaC5iNWJ1bzNseWllc24yDmguM3l2d2Iya2Z2cmV4Mg5oLnRwcHdiYm9oeDFrMTIOaC5qYmpiOGhwczY2cTcyDmgubGxsZ29sY240ZmVtMg5oLmE1djAwbmUyMGM4NjgAciExOWpZc1VMV0JkM005bXBTVjlaMkxsS3dkYTJzb0FsRy0=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