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INDICADOR: RECALL (SENSIBILIDAD)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dependiente: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Desempeño en la detección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Recall (Sensibilidad)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25000 / ISO 25010 – Adecuación Funcional y Eficiencia de Desempeño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PlantVillage – Kaggle + fine-tuning con imágenes locales (Ahuac, Chupaca)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DEFINICIÓN DEL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Proporción de casos positivos reales identificados correctamente por el modelo.</w:t>
      </w:r>
    </w:p>
    <w:p w:rsidR="00000000" w:rsidDel="00000000" w:rsidP="00000000" w:rsidRDefault="00000000" w:rsidRPr="00000000" w14:paraId="0000001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Recall = TP / (TP + FN)</w:t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 de medición: </w:t>
      </w:r>
      <w:r w:rsidDel="00000000" w:rsidR="00000000" w:rsidRPr="00000000">
        <w:rPr>
          <w:rtl w:val="0"/>
        </w:rPr>
        <w:t xml:space="preserve">Razón continua [0 – 1]. Valor 1.0 = ningún caso positivo perdido.</w:t>
      </w:r>
    </w:p>
    <w:p w:rsidR="00000000" w:rsidDel="00000000" w:rsidP="00000000" w:rsidRDefault="00000000" w:rsidRPr="00000000" w14:paraId="0000001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REGISTRO DE RESULTADOS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Fine-Tuning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Fine-Tuning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(Δ)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EfficientNet-Lite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VALIDACIÓN CRUZADA K-FOLD (k=5)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Media: ________     Desviación estándar: ________</w:t>
      </w:r>
    </w:p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OBSERVACIONES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