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7A4D"/>
          <w:sz w:val="20"/>
          <w:szCs w:val="20"/>
        </w:rPr>
        <w:t xml:space="preserve">UNIVERSIDAD CONTINENTAL – FACULTAD DE INGENIERÍA</w:t>
      </w:r>
    </w:p>
    <w:p>
      <w:pPr>
        <w:spacing w:after="200"/>
      </w:pPr>
      <w:r>
        <w:rPr>
          <w:rFonts w:ascii="Arial" w:cs="Arial" w:eastAsia="Arial" w:hAnsi="Arial"/>
          <w:sz w:val="20"/>
          <w:szCs w:val="20"/>
        </w:rPr>
        <w:t xml:space="preserve">Escuela Académico Profesional de Ingeniería de Sistemas e Informática</w:t>
      </w:r>
    </w:p>
    <w:p>
      <w:pPr>
        <w:pStyle w:val="Heading1"/>
        <w:spacing w:after="160" w:before="300"/>
      </w:pPr>
      <w:r>
        <w:rPr>
          <w:rFonts w:ascii="Arial" w:cs="Arial" w:eastAsia="Arial" w:hAnsi="Arial"/>
          <w:b/>
          <w:bCs/>
          <w:color w:val="1F7A4D"/>
          <w:sz w:val="28"/>
          <w:szCs w:val="28"/>
        </w:rPr>
        <w:t xml:space="preserve">DOCUMENTO ISO/IEC 27001:2022
Seguridad de la Información aplicada al Proyecto PlantAI</w:t>
      </w:r>
    </w:p>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1. FICHA DE IDENTIFICACIÓN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Norma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 – Seguridad de la Información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Proyecto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PlantAI – Detección de enfermedades en plantas mediante CNN con fine-tuning</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Autora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Bastidas Vilca, Nikole Celeste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Asesor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Mg. Arana Caparachin, Maglioni</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Institución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Universidad Continental – Facultad de Ingeniería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 de evaluación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Versión de la norma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 (Tercera edición)</w:t>
            </w:r>
          </w:p>
        </w:tc>
      </w:tr>
    </w:tbl>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2. INVENTARIO DE ACTIVOS DE INFORMACIÓN</w:t>
      </w:r>
    </w:p>
    <w:p>
      <w:pPr>
        <w:spacing w:after="120"/>
        <w:jc w:val="both"/>
      </w:pPr>
      <w:r>
        <w:rPr>
          <w:rFonts w:ascii="Arial" w:cs="Arial" w:eastAsia="Arial" w:hAnsi="Arial"/>
          <w:b w:val="false"/>
          <w:bCs w:val="false"/>
          <w:color w:val="000000"/>
          <w:sz w:val="20"/>
          <w:szCs w:val="20"/>
        </w:rPr>
        <w:t xml:space="preserve">La siguiente tabla identifica los principales activos de información del proyecto PlantAI y los controles de seguridad aplicados a cada uno, conforme al contexto académico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900"/>
        <w:gridCol w:w="3260"/>
      </w:tblGrid>
      <w:tr>
        <w:trPr>
          <w:tblHeader/>
        </w:trPr>
        <w:tc>
          <w:tcPr>
            <w:tcW w:type="dxa" w:w="22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Activo de información</w:t>
            </w:r>
          </w:p>
        </w:tc>
        <w:tc>
          <w:tcPr>
            <w:tcW w:type="dxa" w:w="30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9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c>
          <w:tcPr>
            <w:tcW w:type="dxa" w:w="326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aplicado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Dataset de entrenamiento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Imágenes de plantas etiquetadas (~900 imágenes de Ahuac, Chupaca)</w:t>
            </w:r>
          </w:p>
        </w:tc>
        <w:tc>
          <w:tcPr>
            <w:tcW w:type="dxa" w:w="9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Alto</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Anonimización de metadatos GPS y datos personales</w:t>
            </w:r>
          </w:p>
        </w:tc>
      </w:tr>
      <w:tr>
        <w:tc>
          <w:tcPr>
            <w:tcW w:type="dxa" w:w="2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Modelo CNN entrenado</w:t>
            </w:r>
          </w:p>
        </w:tc>
        <w:tc>
          <w:tcPr>
            <w:tcW w:type="dxa" w:w="3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Pesos y arquitectura del modelo con fine-tuning (ResNet50, MobileNetV2, EfficientNet-Lite)</w:t>
            </w:r>
          </w:p>
        </w:tc>
        <w:tc>
          <w:tcPr>
            <w:tcW w:type="dxa" w:w="9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Alto</w:t>
            </w:r>
          </w:p>
        </w:tc>
        <w:tc>
          <w:tcPr>
            <w:tcW w:type="dxa" w:w="32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versiones con registro de acceso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Historial de diagnósticos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Registros de uso de la aplicación por los agricultores</w:t>
            </w:r>
          </w:p>
        </w:tc>
        <w:tc>
          <w:tcPr>
            <w:tcW w:type="dxa" w:w="9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Alto</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Cifrado en el dispositivo móvil del usuario</w:t>
            </w:r>
          </w:p>
        </w:tc>
      </w:tr>
      <w:tr>
        <w:tc>
          <w:tcPr>
            <w:tcW w:type="dxa" w:w="2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Consentimientos informados</w:t>
            </w:r>
          </w:p>
        </w:tc>
        <w:tc>
          <w:tcPr>
            <w:tcW w:type="dxa" w:w="3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Documentos firmados por los participantes del dataset y de las pruebas de aceptación</w:t>
            </w:r>
          </w:p>
        </w:tc>
        <w:tc>
          <w:tcPr>
            <w:tcW w:type="dxa" w:w="9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Alto</w:t>
            </w:r>
          </w:p>
        </w:tc>
        <w:tc>
          <w:tcPr>
            <w:tcW w:type="dxa" w:w="32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Almacenamiento físico bajo custodia de la investigadora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Código fuente de la aplicación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Repositorio de código del sistema PlantAI (FastAPI + Next.js)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Medio</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versiones con acceso restringido</w:t>
            </w:r>
          </w:p>
        </w:tc>
      </w:tr>
      <w:tr>
        <w:tc>
          <w:tcPr>
            <w:tcW w:type="dxa" w:w="2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Logs de entrenamiento</w:t>
            </w:r>
          </w:p>
        </w:tc>
        <w:tc>
          <w:tcPr>
            <w:tcW w:type="dxa" w:w="30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Registros de TensorFlow con métricas y configuraciones por experimento</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Medio</w:t>
            </w:r>
          </w:p>
        </w:tc>
        <w:tc>
          <w:tcPr>
            <w:tcW w:type="dxa" w:w="32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Almacenamiento local en equipo de la investigadora</w:t>
            </w:r>
          </w:p>
        </w:tc>
      </w:tr>
    </w:tbl>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3. FICHA DE EVALUACIÓN DE CONTROLES ISO/IEC 27001:2022 (Anexo A)</w:t>
      </w:r>
    </w:p>
    <w:p>
      <w:pPr>
        <w:spacing w:after="120"/>
        <w:jc w:val="both"/>
      </w:pPr>
      <w:r>
        <w:rPr>
          <w:rFonts w:ascii="Arial" w:cs="Arial" w:eastAsia="Arial" w:hAnsi="Arial"/>
          <w:b w:val="false"/>
          <w:bCs w:val="false"/>
          <w:color w:val="000000"/>
          <w:sz w:val="20"/>
          <w:szCs w:val="20"/>
        </w:rPr>
        <w:t xml:space="preserve">La siguiente tabla evalúa los controles del Anexo A de ISO/IEC 27001:2022 aplicables al proyecto PlantAI y la evidencia de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200"/>
        <w:gridCol w:w="1200"/>
        <w:gridCol w:w="600"/>
      </w:tblGrid>
      <w:tr>
        <w:trPr>
          <w:tblHeader/>
        </w:trPr>
        <w:tc>
          <w:tcPr>
            <w:tcW w:type="dxa" w:w="12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 (Anexo A)</w:t>
            </w:r>
          </w:p>
        </w:tc>
        <w:tc>
          <w:tcPr>
            <w:tcW w:type="dxa" w:w="20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control</w:t>
            </w:r>
          </w:p>
        </w:tc>
        <w:tc>
          <w:tcPr>
            <w:tcW w:type="dxa" w:w="42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Implementación en PlantAI</w:t>
            </w:r>
          </w:p>
        </w:tc>
        <w:tc>
          <w:tcPr>
            <w:tcW w:type="dxa" w:w="12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600"/>
            <w:tcBorders>
              <w:top w:val="single" w:color="AAAAAA" w:sz="1"/>
              <w:left w:val="single" w:color="AAAAAA" w:sz="1"/>
              <w:bottom w:val="single" w:color="AAAAAA" w:sz="1"/>
              <w:right w:val="single" w:color="AAAAAA" w:sz="1"/>
            </w:tcBorders>
            <w:shd w:fill="1F7A4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A.5.34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Privacidad y protección de la información personal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Consentimiento informado documentado. Anonimización del dataset (eliminación de metadatos GPS y datos personales de agricultores de Ahuac).</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Eliminación de información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Protocolo de eliminación de imágenes identificables tras la anonimización del dataset de entrenamiento.</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A.8.24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Uso de criptografía</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Historial de diagnósticos cifrado en el almacenamiento local del dispositivo móvil del usuario.</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Restricción del acceso a la información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Procesamiento local: las imágenes capturadas no se transmiten a servidores externos durante el uso normal del sistema.</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la configuración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de versiones del modelo CNN con registro de configuración de hiperparámetros por experimento en los logs de TensorFlow.</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A.6.2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Acuerdos de confidencialidad</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agricultores participantes en el dataset y en las pruebas de aceptación firman consentimiento informado con cláusulas de uso de sus imágenes.</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A.8.4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Acceso al código fuente</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repositorio del sistema es privado durante el desarrollo; acceso restringido a la autora y al asesor.</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Inventario de activos de información</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 mantiene inventario de activos: dataset, modelo, historial, consentimientos, código fuente y logs.</w:t>
            </w:r>
          </w:p>
        </w:tc>
        <w:tc>
          <w:tcPr>
            <w:tcW w:type="dxa" w:w="120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Implementado</w:t>
            </w:r>
          </w:p>
        </w:tc>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7A4D"/>
                <w:sz w:val="20"/>
                <w:szCs w:val="20"/>
              </w:rPr>
              <w:t xml:space="preserve">✓</w:t>
            </w:r>
          </w:p>
        </w:tc>
      </w:tr>
    </w:tbl>
    <w:p>
      <w:pPr>
        <w:pBdr>
          <w:bottom w:val="single" w:color="1F7A4D" w:sz="4" w:space="1"/>
        </w:pBdr>
        <w:spacing w:after="160" w:before="160"/>
      </w:pPr>
    </w:p>
    <w:p>
      <w:pPr>
        <w:pStyle w:val="Heading2"/>
        <w:spacing w:after="120" w:before="200"/>
      </w:pPr>
      <w:r>
        <w:rPr>
          <w:rFonts w:ascii="Arial" w:cs="Arial" w:eastAsia="Arial" w:hAnsi="Arial"/>
          <w:b/>
          <w:bCs/>
          <w:color w:val="1F7A4D"/>
          <w:sz w:val="24"/>
          <w:szCs w:val="24"/>
        </w:rPr>
        <w:t xml:space="preserve">4. INFORME DE APLICACIÓN</w:t>
      </w:r>
    </w:p>
    <w:p>
      <w:pPr>
        <w:pStyle w:val="Heading1"/>
        <w:spacing w:after="160" w:before="300"/>
      </w:pPr>
      <w:r>
        <w:rPr>
          <w:rFonts w:ascii="Arial" w:cs="Arial" w:eastAsia="Arial" w:hAnsi="Arial"/>
          <w:b/>
          <w:bCs/>
          <w:color w:val="1F7A4D"/>
          <w:sz w:val="28"/>
          <w:szCs w:val="28"/>
        </w:rPr>
        <w:t xml:space="preserve">4.1 Introducción</w:t>
      </w:r>
    </w:p>
    <w:p>
      <w:pPr>
        <w:spacing w:after="120"/>
        <w:jc w:val="both"/>
      </w:pPr>
      <w:r>
        <w:rPr>
          <w:rFonts w:ascii="Arial" w:cs="Arial" w:eastAsia="Arial" w:hAnsi="Arial"/>
          <w:b w:val="false"/>
          <w:bCs w:val="false"/>
          <w:color w:val="000000"/>
          <w:sz w:val="20"/>
          <w:szCs w:val="20"/>
        </w:rPr>
        <w:t xml:space="preserve">La norma ISO/IEC 27001:2022 establece los requisitos para establecer, implementar, mantener y mejorar un Sistema de Gestión de Seguridad de la Información (SGSI). En el proyecto PlantAI, su aplicación se orienta a proteger los datos de los agricultores participantes, garantizar la integridad del dataset de entrenamiento y asegurar la confidencialidad del historial de diagnósticos de los usuarios finales.</w:t>
      </w:r>
    </w:p>
    <w:p>
      <w:pPr>
        <w:pStyle w:val="Heading1"/>
        <w:spacing w:after="160" w:before="300"/>
      </w:pPr>
      <w:r>
        <w:rPr>
          <w:rFonts w:ascii="Arial" w:cs="Arial" w:eastAsia="Arial" w:hAnsi="Arial"/>
          <w:b/>
          <w:bCs/>
          <w:color w:val="1F7A4D"/>
          <w:sz w:val="28"/>
          <w:szCs w:val="28"/>
        </w:rPr>
        <w:t xml:space="preserve">4.2 Análisis del contexto de seguridad</w:t>
      </w:r>
    </w:p>
    <w:p>
      <w:pPr>
        <w:spacing w:after="120"/>
        <w:jc w:val="both"/>
      </w:pPr>
      <w:r>
        <w:rPr>
          <w:rFonts w:ascii="Arial" w:cs="Arial" w:eastAsia="Arial" w:hAnsi="Arial"/>
          <w:b w:val="false"/>
          <w:bCs w:val="false"/>
          <w:color w:val="000000"/>
          <w:sz w:val="20"/>
          <w:szCs w:val="20"/>
        </w:rPr>
        <w:t xml:space="preserve">PlantAI opera en un contexto de investigación académica con participación de agricultores de Ahuac, Chupaca, quienes proporcionan imágenes de sus cultivos para el dataset de entrenamiento y participan en las pruebas de aceptación. Los principales riesgos de seguridad identificados son: (a) exposición de datos personales durante la recolección de imágenes en campo; (b) transmisión no autorizada de imágenes de diagnóstico; (c) acceso no controlado al modelo entrenado y al código fuente.</w:t>
      </w:r>
    </w:p>
    <w:p>
      <w:pPr>
        <w:pStyle w:val="Heading1"/>
        <w:spacing w:after="160" w:before="300"/>
      </w:pPr>
      <w:r>
        <w:rPr>
          <w:rFonts w:ascii="Arial" w:cs="Arial" w:eastAsia="Arial" w:hAnsi="Arial"/>
          <w:b/>
          <w:bCs/>
          <w:color w:val="1F7A4D"/>
          <w:sz w:val="28"/>
          <w:szCs w:val="28"/>
        </w:rPr>
        <w:t xml:space="preserve">4.3 Controles de privacidad del dataset</w:t>
      </w:r>
    </w:p>
    <w:p>
      <w:pPr>
        <w:spacing w:after="120"/>
        <w:jc w:val="both"/>
      </w:pPr>
      <w:r>
        <w:rPr>
          <w:rFonts w:ascii="Arial" w:cs="Arial" w:eastAsia="Arial" w:hAnsi="Arial"/>
          <w:b w:val="false"/>
          <w:bCs w:val="false"/>
          <w:color w:val="000000"/>
          <w:sz w:val="20"/>
          <w:szCs w:val="20"/>
        </w:rPr>
        <w:t xml:space="preserve">Para proteger la privacidad de los agricultores participantes en la construcción del dataset, se implementan los siguientes controles: (1) Consentimiento informado previo a la captura de cualquier imagen, con explicación del propósito de uso y los derechos del participante; (2) Anonimización del dataset mediante la eliminación de metadatos GPS embebidos en las imágenes EXIF y la supresión de datos personales de los registros de etiquetado; (3) Almacenamiento del dataset en equipo de la investigadora con acceso restringido, sin publicación en repositorios públicos sin previa anonimización completa.</w:t>
      </w:r>
    </w:p>
    <w:p>
      <w:pPr>
        <w:pStyle w:val="Heading1"/>
        <w:spacing w:after="160" w:before="300"/>
      </w:pPr>
      <w:r>
        <w:rPr>
          <w:rFonts w:ascii="Arial" w:cs="Arial" w:eastAsia="Arial" w:hAnsi="Arial"/>
          <w:b/>
          <w:bCs/>
          <w:color w:val="1F7A4D"/>
          <w:sz w:val="28"/>
          <w:szCs w:val="28"/>
        </w:rPr>
        <w:t xml:space="preserve">4.4 Seguridad de la aplicación móvil</w:t>
      </w:r>
    </w:p>
    <w:p>
      <w:pPr>
        <w:spacing w:after="120"/>
        <w:jc w:val="both"/>
      </w:pPr>
      <w:r>
        <w:rPr>
          <w:rFonts w:ascii="Arial" w:cs="Arial" w:eastAsia="Arial" w:hAnsi="Arial"/>
          <w:b w:val="false"/>
          <w:bCs w:val="false"/>
          <w:color w:val="000000"/>
          <w:sz w:val="20"/>
          <w:szCs w:val="20"/>
        </w:rPr>
        <w:t xml:space="preserve">La aplicación PlantAI implementa un modelo de procesamiento local (on-device): las imágenes capturadas por el usuario se procesan directamente en el dispositivo móvil sin transmisión a servidores externos durante el funcionamiento normal del sistema. Este enfoque elimina el riesgo de interceptación durante la transmisión. El historial de diagnósticos se almacena cifrado en el almacenamiento local del dispositivo, accesible únicamente por la aplicación y el propietario del dispositivo.</w:t>
      </w:r>
    </w:p>
    <w:p>
      <w:pPr>
        <w:pStyle w:val="Heading1"/>
        <w:spacing w:after="160" w:before="300"/>
      </w:pPr>
      <w:r>
        <w:rPr>
          <w:rFonts w:ascii="Arial" w:cs="Arial" w:eastAsia="Arial" w:hAnsi="Arial"/>
          <w:b/>
          <w:bCs/>
          <w:color w:val="1F7A4D"/>
          <w:sz w:val="28"/>
          <w:szCs w:val="28"/>
        </w:rPr>
        <w:t xml:space="preserve">4.5 Conclusión</w:t>
      </w:r>
    </w:p>
    <w:p>
      <w:pPr>
        <w:spacing w:after="120"/>
        <w:jc w:val="both"/>
      </w:pPr>
      <w:r>
        <w:rPr>
          <w:rFonts w:ascii="Arial" w:cs="Arial" w:eastAsia="Arial" w:hAnsi="Arial"/>
          <w:b w:val="false"/>
          <w:bCs w:val="false"/>
          <w:color w:val="000000"/>
          <w:sz w:val="20"/>
          <w:szCs w:val="20"/>
        </w:rPr>
        <w:t xml:space="preserve">La aplicación de ISO/IEC 27001:2022 al proyecto PlantAI garantiza la protección de los datos de los agricultores participantes, la integridad del dataset de entrenamiento y la confidencialidad del historial de diagnósticos. Los 8 controles del Anexo A evaluados presentan implementación documentada, con énfasis en el procesamiento local y la anonimización del dataset como pilares de la estrategia de seguridad del proyecto.</w:t>
      </w:r>
    </w:p>
    <w:p>
      <w:pPr>
        <w:pBdr>
          <w:bottom w:val="single" w:color="1F7A4D" w:sz="4" w:space="1"/>
        </w:pBdr>
        <w:spacing w:after="160" w:before="160"/>
      </w:pPr>
    </w:p>
    <w:p>
      <w:pPr>
        <w:spacing w:before="200"/>
        <w:jc w:val="right"/>
      </w:pPr>
      <w:r>
        <w:rPr>
          <w:rFonts w:ascii="Arial" w:cs="Arial" w:eastAsia="Arial" w:hAnsi="Arial"/>
          <w:b/>
          <w:bCs/>
          <w:color w:val="1F7A4D"/>
          <w:sz w:val="20"/>
          <w:szCs w:val="20"/>
        </w:rPr>
        <w:t xml:space="preserve">Controles Anexo A evaluados: 8/8 | Activos identificados: 6 | Estado: IMPLEMENTADO</w:t>
      </w:r>
    </w:p>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7A4D"/>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7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2026-06-26T23:33:34.000Z</dcterms:created>
  <dcterms:modified xsi:type="dcterms:W3CDTF">2026-06-26T23:33:34.000Z</dcterms:modified>
</cp:coreProperties>
</file>

<file path=docProps/custom.xml><?xml version="1.0" encoding="utf-8"?>
<Properties xmlns="http://schemas.openxmlformats.org/officeDocument/2006/custom-properties" xmlns:vt="http://schemas.openxmlformats.org/officeDocument/2006/docPropsVTypes"/>
</file>