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7A4D"/>
          <w:sz w:val="20"/>
          <w:szCs w:val="20"/>
        </w:rPr>
        <w:t xml:space="preserve">UNIVERSIDAD CONTINENTAL – FACULTAD DE INGENIERÍA</w:t>
      </w:r>
    </w:p>
    <w:p>
      <w:pPr>
        <w:spacing w:after="200"/>
      </w:pPr>
      <w:r>
        <w:rPr>
          <w:rFonts w:ascii="Arial" w:cs="Arial" w:eastAsia="Arial" w:hAnsi="Arial"/>
          <w:sz w:val="20"/>
          <w:szCs w:val="20"/>
        </w:rPr>
        <w:t xml:space="preserve">Escuela Académico Profesional de Ingeniería de Sistemas e Informática</w:t>
      </w:r>
    </w:p>
    <w:p>
      <w:pPr>
        <w:pStyle w:val="Heading1"/>
        <w:spacing w:after="160" w:before="300"/>
      </w:pPr>
      <w:r>
        <w:rPr>
          <w:rFonts w:ascii="Arial" w:cs="Arial" w:eastAsia="Arial" w:hAnsi="Arial"/>
          <w:b/>
          <w:bCs/>
          <w:color w:val="1F7A4D"/>
          <w:sz w:val="28"/>
          <w:szCs w:val="28"/>
        </w:rPr>
        <w:t xml:space="preserve">DOCUMENTO ISO/IEC/IEEE 29119
Plan y Evaluación de Pruebas de Software aplicado al Proyecto PlantAI</w:t>
      </w:r>
    </w:p>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1. FICHA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Norma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ISO/IEC/IEEE 29119 – Pruebas de Software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Proyecto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PlantAI – Detección de enfermedades en plantas mediante CNN con fine-tuning</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Autora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Bastidas Vilca, Nikole Celeste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Asesor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Mg. Arana Caparachin, Maglioni</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Institución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Universidad Continental – Facultad de Ingeniería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 de evaluación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Partes aplicadas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29119-1 (Conceptos), 29119-2 (Procesos), 29119-3 (Documentación), 29119-4 (Técnicas)</w:t>
            </w:r>
          </w:p>
        </w:tc>
      </w:tr>
    </w:tbl>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2. FICHA DE EVALUACIÓN DE CUMPLIMIENTO</w:t>
      </w:r>
    </w:p>
    <w:p>
      <w:pPr>
        <w:spacing w:after="120"/>
        <w:jc w:val="both"/>
      </w:pPr>
      <w:r>
        <w:rPr>
          <w:rFonts w:ascii="Arial" w:cs="Arial" w:eastAsia="Arial" w:hAnsi="Arial"/>
          <w:b w:val="false"/>
          <w:bCs w:val="false"/>
          <w:color w:val="000000"/>
          <w:sz w:val="20"/>
          <w:szCs w:val="20"/>
        </w:rPr>
        <w:t xml:space="preserve">La siguiente tabla evalúa el cumplimiento de los procesos de prueba definidos en ISO/IEC/IEEE 29119 aplicados al proyecto PlantAI.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00"/>
        <w:gridCol w:w="1000"/>
        <w:gridCol w:w="600"/>
      </w:tblGrid>
      <w:tr>
        <w:trPr>
          <w:tblHeader/>
        </w:trPr>
        <w:tc>
          <w:tcPr>
            <w:tcW w:type="dxa" w:w="18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Proceso / Nivel</w:t>
            </w:r>
          </w:p>
        </w:tc>
        <w:tc>
          <w:tcPr>
            <w:tcW w:type="dxa" w:w="20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Caso de prueba</w:t>
            </w:r>
          </w:p>
        </w:tc>
        <w:tc>
          <w:tcPr>
            <w:tcW w:type="dxa" w:w="33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Evidencia en PlantAI</w:t>
            </w:r>
          </w:p>
        </w:tc>
        <w:tc>
          <w:tcPr>
            <w:tcW w:type="dxa" w:w="10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6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Plan de pruebas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Alcance definido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Tres niveles: pruebas unitarias del modelo CNN, pruebas de integración y pruebas de aceptación con 30 usuarios.</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Plan de pruebas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Criterios de entrada/salida</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Entrada: modelo entrenado con k-fold completado. Salida: accuracy ≥ 90%, F1-score ≥ 0.88, tiempo ≤ 3 s.</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Plan de pruebas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Estrategia de pruebas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Validación cruzada k-fold (k=5) para pruebas unitarias. Pipeline end-to-end para integración.</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Pruebas unitarias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Verificación de métricas por arquitectura</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Accuracy y F1-score calculados por fold para ResNet50, MobileNetV2 y EfficientNet-Lite.</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Pruebas unitarias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Análisis estadístico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Prueba de Wilcoxon (α=0.05) para comparar arquitecturas (H1) y modelos fine-tuned vs. base (H2).</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Pruebas de integración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Cadena de procesamiento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Verificación: captura de imagen → redimensionado 224×224 → normalización → inferencia → resultado.</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Pruebas de integración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desempeño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de respuesta end-to-end ≤ 3 segundos en dispositivo Android Snapdragon 680.</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Pruebas de aceptación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Participantes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propietarios de huertos domésticos de Huancayo. Muestra no probabilística por conveniencia.</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Pruebas de aceptación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Instrumento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Cuestionario SUS adaptado. Umbral: ≥ 4.0/5.0. Análisis: prueba t de Student (IBM SPSS 27).</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Reporte de defectos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Procedimiento documentado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de defectos con clasificación por severidad, componente afectado y acción correctiva.</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Documentación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 de pruebas formal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Documento con alcance, niveles, criterios de éxito, casos de prueba y roles responsables.</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Cumple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bl>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3. CASOS DE PRUEBA</w:t>
      </w:r>
    </w:p>
    <w:p>
      <w:pPr>
        <w:spacing w:after="120"/>
        <w:jc w:val="both"/>
      </w:pPr>
      <w:r>
        <w:rPr>
          <w:rFonts w:ascii="Arial" w:cs="Arial" w:eastAsia="Arial" w:hAnsi="Arial"/>
          <w:b w:val="false"/>
          <w:bCs w:val="false"/>
          <w:color w:val="000000"/>
          <w:sz w:val="20"/>
          <w:szCs w:val="20"/>
        </w:rPr>
        <w:t xml:space="preserve">La siguiente tabla lista los casos de prueba definidos para el proyecto PlantAI, organizados por nivel de prueba y alineados con ISO/IEC/IEEE 29119-3.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1800"/>
        <w:gridCol w:w="2200"/>
        <w:gridCol w:w="1260"/>
      </w:tblGrid>
      <w:tr>
        <w:trPr>
          <w:tblHeader/>
        </w:trPr>
        <w:tc>
          <w:tcPr>
            <w:tcW w:type="dxa" w:w="7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0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w:t>
            </w:r>
          </w:p>
        </w:tc>
        <w:tc>
          <w:tcPr>
            <w:tcW w:type="dxa" w:w="18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18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Entrada</w:t>
            </w:r>
          </w:p>
        </w:tc>
        <w:tc>
          <w:tcPr>
            <w:tcW w:type="dxa" w:w="22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 esperado</w:t>
            </w:r>
          </w:p>
        </w:tc>
        <w:tc>
          <w:tcPr>
            <w:tcW w:type="dxa" w:w="126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CP-01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Unitaria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Clasificación correcta de imagen de mildiu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Imagen de mildiu del conjunto de prueba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predicha: mildiu, confianza ≥ 80%</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ejecución</w:t>
            </w:r>
          </w:p>
        </w:tc>
      </w:tr>
      <w:tr>
        <w:tc>
          <w:tcPr>
            <w:tcW w:type="dxa" w:w="7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CP-02</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Unitaria</w:t>
            </w:r>
          </w:p>
        </w:tc>
        <w:tc>
          <w:tcPr>
            <w:tcW w:type="dxa" w:w="18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Clasificación correcta de imagen sana</w:t>
            </w:r>
          </w:p>
        </w:tc>
        <w:tc>
          <w:tcPr>
            <w:tcW w:type="dxa" w:w="18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Imagen de planta sana del conjunto de prueba</w:t>
            </w:r>
          </w:p>
        </w:tc>
        <w:tc>
          <w:tcPr>
            <w:tcW w:type="dxa" w:w="2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predicha: sana, confianza ≥ 80%</w:t>
            </w:r>
          </w:p>
        </w:tc>
        <w:tc>
          <w:tcPr>
            <w:tcW w:type="dxa" w:w="12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ejecución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CP-03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Unitaria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F1-score por clase ≥ 0.88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Fold de prueba completo (k-fold)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F1-score ≥ 0.88 para cada una de las 3 clases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ejecución</w:t>
            </w:r>
          </w:p>
        </w:tc>
      </w:tr>
      <w:tr>
        <w:tc>
          <w:tcPr>
            <w:tcW w:type="dxa" w:w="7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CP-04</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Integración</w:t>
            </w:r>
          </w:p>
        </w:tc>
        <w:tc>
          <w:tcPr>
            <w:tcW w:type="dxa" w:w="18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de inferencia ≤ 3 s</w:t>
            </w:r>
          </w:p>
        </w:tc>
        <w:tc>
          <w:tcPr>
            <w:tcW w:type="dxa" w:w="18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Imagen capturada desde cámara del dispositivo</w:t>
            </w:r>
          </w:p>
        </w:tc>
        <w:tc>
          <w:tcPr>
            <w:tcW w:type="dxa" w:w="2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Resultado mostrado en ≤ 3 segundos</w:t>
            </w:r>
          </w:p>
        </w:tc>
        <w:tc>
          <w:tcPr>
            <w:tcW w:type="dxa" w:w="12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ejecución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CP-05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Integración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Manejo de imagen borrosa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Imagen fuera de foco o con ruido excesivo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Mensaje: 'Imagen no clara, intente nuevamente'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ejecución</w:t>
            </w:r>
          </w:p>
        </w:tc>
      </w:tr>
      <w:tr>
        <w:tc>
          <w:tcPr>
            <w:tcW w:type="dxa" w:w="7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CP-06</w:t>
            </w:r>
          </w:p>
        </w:tc>
        <w:tc>
          <w:tcPr>
            <w:tcW w:type="dxa" w:w="1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Aceptación</w:t>
            </w:r>
          </w:p>
        </w:tc>
        <w:tc>
          <w:tcPr>
            <w:tcW w:type="dxa" w:w="18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Puntuación SUS ≥ 4.0/5.0</w:t>
            </w:r>
          </w:p>
        </w:tc>
        <w:tc>
          <w:tcPr>
            <w:tcW w:type="dxa" w:w="18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usuarios reales con smartphones</w:t>
            </w:r>
          </w:p>
        </w:tc>
        <w:tc>
          <w:tcPr>
            <w:tcW w:type="dxa" w:w="2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 SUS ≥ 4.0/5.0, IC 95%</w:t>
            </w:r>
          </w:p>
        </w:tc>
        <w:tc>
          <w:tcPr>
            <w:tcW w:type="dxa" w:w="12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ejecución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CP-07</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Aceptación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Comprensión del resultado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 visualiza pantalla de diagnóstico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90% de usuarios comprenden el resultado sin asistencia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ejecución</w:t>
            </w:r>
          </w:p>
        </w:tc>
      </w:tr>
    </w:tbl>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4. INFORME DE APLICACIÓN</w:t>
      </w:r>
    </w:p>
    <w:p>
      <w:pPr>
        <w:pStyle w:val="Heading1"/>
        <w:spacing w:after="160" w:before="300"/>
      </w:pPr>
      <w:r>
        <w:rPr>
          <w:rFonts w:ascii="Arial" w:cs="Arial" w:eastAsia="Arial" w:hAnsi="Arial"/>
          <w:b/>
          <w:bCs/>
          <w:color w:val="1F7A4D"/>
          <w:sz w:val="28"/>
          <w:szCs w:val="28"/>
        </w:rPr>
        <w:t xml:space="preserve">4.1 Introducción</w:t>
      </w:r>
    </w:p>
    <w:p>
      <w:pPr>
        <w:spacing w:after="120"/>
        <w:jc w:val="both"/>
      </w:pPr>
      <w:r>
        <w:rPr>
          <w:rFonts w:ascii="Arial" w:cs="Arial" w:eastAsia="Arial" w:hAnsi="Arial"/>
          <w:b w:val="false"/>
          <w:bCs w:val="false"/>
          <w:color w:val="000000"/>
          <w:sz w:val="20"/>
          <w:szCs w:val="20"/>
        </w:rPr>
        <w:t xml:space="preserve">La norma ISO/IEC/IEEE 29119 establece un marco estándar para la planificación, diseño, ejecución y reporte de pruebas de software. En el proyecto PlantAI, su aplicación se articula en tres niveles de prueba que cubren desde la verificación técnica del modelo CNN hasta la validación con usuarios finales en condiciones reales.</w:t>
      </w:r>
    </w:p>
    <w:p>
      <w:pPr>
        <w:pStyle w:val="Heading1"/>
        <w:spacing w:after="160" w:before="300"/>
      </w:pPr>
      <w:r>
        <w:rPr>
          <w:rFonts w:ascii="Arial" w:cs="Arial" w:eastAsia="Arial" w:hAnsi="Arial"/>
          <w:b/>
          <w:bCs/>
          <w:color w:val="1F7A4D"/>
          <w:sz w:val="28"/>
          <w:szCs w:val="28"/>
        </w:rPr>
        <w:t xml:space="preserve">4.2 Pruebas unitarias del modelo CNN</w:t>
      </w:r>
    </w:p>
    <w:p>
      <w:pPr>
        <w:spacing w:after="120"/>
        <w:jc w:val="both"/>
      </w:pPr>
      <w:r>
        <w:rPr>
          <w:rFonts w:ascii="Arial" w:cs="Arial" w:eastAsia="Arial" w:hAnsi="Arial"/>
          <w:b w:val="false"/>
          <w:bCs w:val="false"/>
          <w:color w:val="000000"/>
          <w:sz w:val="20"/>
          <w:szCs w:val="20"/>
        </w:rPr>
        <w:t xml:space="preserve">Las pruebas unitarias se implementan mediante validación cruzada k-fold (k=5). En cada iteración, el fold de prueba se evalúa calculando accuracy, F1-score por clase (mildiu, manchas foliares, sana), precisión, recall y matriz de confusión. Los resultados de los 5 folds se consolidan para contrastar las hipótesis H1 (comparación de arquitecturas: ResNet50 vs. MobileNetV2 vs. EfficientNet-Lite) y H2 (modelo fine-tuned vs. modelo base sin fine-tuning), utilizando la prueba de Wilcoxon con nivel de significancia α = 0.05 y d de Cohen para el tamaño del efecto.</w:t>
      </w:r>
    </w:p>
    <w:p>
      <w:pPr>
        <w:pStyle w:val="Heading1"/>
        <w:spacing w:after="160" w:before="300"/>
      </w:pPr>
      <w:r>
        <w:rPr>
          <w:rFonts w:ascii="Arial" w:cs="Arial" w:eastAsia="Arial" w:hAnsi="Arial"/>
          <w:b/>
          <w:bCs/>
          <w:color w:val="1F7A4D"/>
          <w:sz w:val="28"/>
          <w:szCs w:val="28"/>
        </w:rPr>
        <w:t xml:space="preserve">4.3 Pruebas de integración</w:t>
      </w:r>
    </w:p>
    <w:p>
      <w:pPr>
        <w:spacing w:after="120"/>
        <w:jc w:val="both"/>
      </w:pPr>
      <w:r>
        <w:rPr>
          <w:rFonts w:ascii="Arial" w:cs="Arial" w:eastAsia="Arial" w:hAnsi="Arial"/>
          <w:b w:val="false"/>
          <w:bCs w:val="false"/>
          <w:color w:val="000000"/>
          <w:sz w:val="20"/>
          <w:szCs w:val="20"/>
        </w:rPr>
        <w:t xml:space="preserve">Las pruebas de integración verifican la cadena completa de procesamiento: (1) captura de imagen mediante smartphone, (2) preprocesamiento (redimensionado a 224×224 píxeles y normalización al rango [0,1]), (3) inferencia del modelo y (4) presentación del diagnóstico con nivel de confianza en porcentaje. El criterio de éxito principal es un tiempo de respuesta end-to-end ≤ 3 segundos en dispositivos Android con procesador Snapdragon 680 o equivalente. Se registran los tiempos de cada etapa por separado para identificar cuellos de botella.</w:t>
      </w:r>
    </w:p>
    <w:p>
      <w:pPr>
        <w:pStyle w:val="Heading1"/>
        <w:spacing w:after="160" w:before="300"/>
      </w:pPr>
      <w:r>
        <w:rPr>
          <w:rFonts w:ascii="Arial" w:cs="Arial" w:eastAsia="Arial" w:hAnsi="Arial"/>
          <w:b/>
          <w:bCs/>
          <w:color w:val="1F7A4D"/>
          <w:sz w:val="28"/>
          <w:szCs w:val="28"/>
        </w:rPr>
        <w:t xml:space="preserve">4.4 Pruebas de aceptación</w:t>
      </w:r>
    </w:p>
    <w:p>
      <w:pPr>
        <w:spacing w:after="120"/>
        <w:jc w:val="both"/>
      </w:pPr>
      <w:r>
        <w:rPr>
          <w:rFonts w:ascii="Arial" w:cs="Arial" w:eastAsia="Arial" w:hAnsi="Arial"/>
          <w:b w:val="false"/>
          <w:bCs w:val="false"/>
          <w:color w:val="000000"/>
          <w:sz w:val="20"/>
          <w:szCs w:val="20"/>
        </w:rPr>
        <w:t xml:space="preserve">Las pruebas de aceptación se realizan con 30 propietarios de huertos domésticos de Huancayo, mayores de 18 años, con acceso a smartphone Android o iOS. El instrumento de evaluación es el cuestionario SUS adaptado, administrado en IBM SPSS Statistics 27. Se aplican las pruebas de normalidad Shapiro-Wilk y la prueba t de Student para una muestra, comparando contra el umbral mínimo de 4.0/5.0. El análisis incluye estadísticas descriptivas por ítem y puntuación global con intervalo de confianza al 95%.</w:t>
      </w:r>
    </w:p>
    <w:p>
      <w:pPr>
        <w:pStyle w:val="Heading1"/>
        <w:spacing w:after="160" w:before="300"/>
      </w:pPr>
      <w:r>
        <w:rPr>
          <w:rFonts w:ascii="Arial" w:cs="Arial" w:eastAsia="Arial" w:hAnsi="Arial"/>
          <w:b/>
          <w:bCs/>
          <w:color w:val="1F7A4D"/>
          <w:sz w:val="28"/>
          <w:szCs w:val="28"/>
        </w:rPr>
        <w:t xml:space="preserve">4.5 Gestión de defectos</w:t>
      </w:r>
    </w:p>
    <w:p>
      <w:pPr>
        <w:spacing w:after="120"/>
        <w:jc w:val="both"/>
      </w:pPr>
      <w:r>
        <w:rPr>
          <w:rFonts w:ascii="Arial" w:cs="Arial" w:eastAsia="Arial" w:hAnsi="Arial"/>
          <w:b w:val="false"/>
          <w:bCs w:val="false"/>
          <w:color w:val="000000"/>
          <w:sz w:val="20"/>
          <w:szCs w:val="20"/>
        </w:rPr>
        <w:t xml:space="preserve">Los defectos identificados durante las pruebas se registran con: identificador único, nivel de prueba donde se detectó, descripción del fallo, severidad (crítica, alta, media, baja), componente afectado (modelo, preprocesamiento, interfaz) y acción correctiva aplicada. El criterio de cierre del ciclo de pruebas requiere que no existan defectos de severidad crítica o alta sin resolver.</w:t>
      </w:r>
    </w:p>
    <w:p>
      <w:pPr>
        <w:pStyle w:val="Heading1"/>
        <w:spacing w:after="160" w:before="300"/>
      </w:pPr>
      <w:r>
        <w:rPr>
          <w:rFonts w:ascii="Arial" w:cs="Arial" w:eastAsia="Arial" w:hAnsi="Arial"/>
          <w:b/>
          <w:bCs/>
          <w:color w:val="1F7A4D"/>
          <w:sz w:val="28"/>
          <w:szCs w:val="28"/>
        </w:rPr>
        <w:t xml:space="preserve">4.6 Conclusión</w:t>
      </w:r>
    </w:p>
    <w:p>
      <w:pPr>
        <w:spacing w:after="120"/>
        <w:jc w:val="both"/>
      </w:pPr>
      <w:r>
        <w:rPr>
          <w:rFonts w:ascii="Arial" w:cs="Arial" w:eastAsia="Arial" w:hAnsi="Arial"/>
          <w:b w:val="false"/>
          <w:bCs w:val="false"/>
          <w:color w:val="000000"/>
          <w:sz w:val="20"/>
          <w:szCs w:val="20"/>
        </w:rPr>
        <w:t xml:space="preserve">La aplicación de ISO/IEC/IEEE 29119 al proyecto PlantAI proporciona un marco estructurado de pruebas que cubre todos los aspectos críticos del sistema: precisión del modelo, desempeño en dispositivos reales y aceptación por parte de los usuarios finales. Los 11 procesos de prueba evaluados presentan evidencia de planificación y definición de criterios de éxito medibles.</w:t>
      </w:r>
    </w:p>
    <w:p>
      <w:pPr>
        <w:pBdr>
          <w:bottom w:val="single" w:color="1F7A4D" w:sz="4" w:space="1"/>
        </w:pBdr>
        <w:spacing w:after="160" w:before="160"/>
      </w:pPr>
    </w:p>
    <w:p>
      <w:pPr>
        <w:spacing w:before="200"/>
        <w:jc w:val="right"/>
      </w:pPr>
      <w:r>
        <w:rPr>
          <w:rFonts w:ascii="Arial" w:cs="Arial" w:eastAsia="Arial" w:hAnsi="Arial"/>
          <w:b/>
          <w:bCs/>
          <w:color w:val="1F7A4D"/>
          <w:sz w:val="20"/>
          <w:szCs w:val="20"/>
        </w:rPr>
        <w:t xml:space="preserve">Casos de prueba definidos: 7 | Niveles cubiertos: 3 (Unitaria, Integración, Aceptación)</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7A4D"/>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7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2026-06-26T23:33:33.943Z</dcterms:created>
  <dcterms:modified xsi:type="dcterms:W3CDTF">2026-06-26T23:33:33.943Z</dcterms:modified>
</cp:coreProperties>
</file>

<file path=docProps/custom.xml><?xml version="1.0" encoding="utf-8"?>
<Properties xmlns="http://schemas.openxmlformats.org/officeDocument/2006/custom-properties" xmlns:vt="http://schemas.openxmlformats.org/officeDocument/2006/docPropsVTypes"/>
</file>