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700"/>
        <w:gridCol w:w="2500"/>
        <w:gridCol w:w="1100"/>
        <w:gridCol w:w="1700"/>
        <w:gridCol w:w="2200"/>
        <w:gridCol w:w="2598"/>
      </w:tblGrid>
      <w:tr>
        <w:tc>
          <w:tcPr>
            <w:tcW w:type="dxa" w:w="15398"/>
            <w:gridSpan w:val="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7A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MATRIZ DE OPERACIONALIZACIÓN DE INSTRUMENTOS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Proyecto: "Detección de enfermedades en planta mediante CNN con fine-tuning"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Autora: Bastidas Vilca, Nikole Celeste  |  Asesor: Mg. Arana Caparachin, Maglioni  |  Universidad Continental, 2026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7A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7A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DIMENSIÓN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7A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7A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ÍTEMS / REGISTRO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7A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ESCALA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7A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VALORES / RANGO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7A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INSTRUMENTO</w:t>
            </w:r>
          </w:p>
        </w:tc>
        <w:tc>
          <w:tcPr>
            <w:tcW w:type="dxa" w:w="25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7A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Variable Independiente (VI):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Modelo CNN con fine-tuning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Arquitectura del modelo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Tipo de arquitectura CNN preentrenada utilizada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R1. ¿Qué arquitectura se utiliza?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  [ ] ResNet50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  [ ] MobileNetV2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  [ ] EfficientNet-Lite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R2. ¿Fue preentrenada en ImageNet?  [ ] Sí  [ ] No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R3. N.° de capas descongeladas para fine-tuning: ___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R4. N.° total de parámetros: ___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Nominal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ResNet50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MobileNetV2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EfficientNet-Lite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Ficha de Registro de Modelos (FRM-01)</w:t>
            </w:r>
          </w:p>
        </w:tc>
        <w:tc>
          <w:tcPr>
            <w:tcW w:type="dxa" w:w="25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TensorFlow/Keras model summary. Logs de entrenamiento.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Configuración del fine-tuning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Hiperparámetros de entrenamiento aplicados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R5. Learning rate inicial: ___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R6. Optimizador: [ ] Adam  [ ] SGD  [ ] Otro: ___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R7. Función de pérdida: [ ] Categorical Crossentropy  [ ] Otra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R8. N.° épocas entrenadas: ___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R9. Early stopping (paciencia): ___ épocas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R10. Reducción LR por plateau: [ ] Sí  [ ] No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Nominal / Razón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LR: 1e-4 (inicial)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Adam optimizer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Early stopping p=10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Ficha de Registro de Modelos (FRM-01)</w:t>
            </w:r>
          </w:p>
        </w:tc>
        <w:tc>
          <w:tcPr>
            <w:tcW w:type="dxa" w:w="25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Logs TensorFlow por experimento.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Dataset de entrenamiento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Características del dataset local de Ahuac, Chupaca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R11. N.° total de imágenes: ___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R12. N.° imágenes por clase: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  Mildiu: ___  |  Manchas foliares: ___  |  Sana: ___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R13. Resolución captura (MP): ___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R14. ¿Se aplicó data augmentation? [ ] Sí  [ ] No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R15. Técnicas: [ ] Rotación ±30°  [ ] Flip H/V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             [ ] Zoom ±20%  [ ] Brillo ±20%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             [ ] Desplazamiento ±10%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Razón / Nominal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~900 imágenes totales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~300 por clase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224×224 px (redimensionado)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Ficha de Registro de Modelos (FRM-01)</w:t>
            </w:r>
          </w:p>
        </w:tc>
        <w:tc>
          <w:tcPr>
            <w:tcW w:type="dxa" w:w="25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Protocolo de recolección de campo. Cuaderno de campo.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Variable Dependiente (VD):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Desempeño en la detección de enfermedades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Precisión del modelo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Accuracy global en el conjunto de prueba (k-fold, k=5)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M1. Accuracy fold 1: ___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M2. Accuracy fold 2: ___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M3. Accuracy fold 3: ___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M4. Accuracy fold 4: ___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M5. Accuracy fold 5: ___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M6. Accuracy media ± DE: ___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M7. Intervalo de confianza 95%: [___, ___]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Razón (0–1)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Umbral: ≥ 0.90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(≥ 90%)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Por arquitectura y condición (base / fine-tuned)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Registro de Métricas por Fold (RMF-02)</w:t>
            </w:r>
          </w:p>
        </w:tc>
        <w:tc>
          <w:tcPr>
            <w:tcW w:type="dxa" w:w="25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scikit-learn: accuracy_score. Logs TensorFlow. IBM SPSS 27.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Rendimiento del modelo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F1-score por clase en conjunto de prueba (k-fold)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M8. F1-score clase Mildiu (media k-fold): ___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M9. F1-score clase Manchas foliares (media k-fold): ___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M10. F1-score clase Sana (media k-fold): ___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M11. F1-score macro promedio: ___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M12. F1-score weighted: ___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Razón (0–1)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Umbral: ≥ 0.88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por cada clase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Registro de Métricas por Fold (RMF-02)</w:t>
            </w:r>
          </w:p>
        </w:tc>
        <w:tc>
          <w:tcPr>
            <w:tcW w:type="dxa" w:w="25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scikit-learn: f1_score (average='macro', 'weighted', None).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Capacidad de clasificación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Precision y Recall por clase (k-fold)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M13. Precision por clase (media k-fold): ___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M14. Recall por clase (media k-fold): ___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M15. Matriz de confusión (fold representativo):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  Pred→  Mildiu  Manchas  Sana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  Mildiu  [ ]     [ ]     [ ]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  Manchas [ ]     [ ]     [ ]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  Sana    [ ]     [ ]     [ ]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Razón (0–1)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Precision ≥ 0.88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Recall ≥ 0.85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por cada clase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Registro de Métricas por Fold (RMF-02)</w:t>
            </w:r>
          </w:p>
        </w:tc>
        <w:tc>
          <w:tcPr>
            <w:tcW w:type="dxa" w:w="25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scikit-learn: precision_score, recall_score, confusion_matrix.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Reducción del domain shift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Diferencia de accuracy: dataset controlado (PlantVillage) vs. campo real (Ahuac)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M16. Accuracy modelo base (PlantVillage): ___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M17. Accuracy modelo fine-tuned (Ahuac): ___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M18. Δ Accuracy = M17 – M16: ___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M19. Δ F1-score = F1_fine-tuned – F1_base: ___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M20. p-valor Wilcoxon (H1): ___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M21. p-valor Wilcoxon (H2): ___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M22. d de Cohen: ___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Razón (diferencia)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Δ Accuracy &gt; 0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 &lt; 0.05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 de Cohen &gt; 0.5 (efecto medio)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Registro de Métricas por Fold (RMF-02)</w:t>
            </w:r>
          </w:p>
        </w:tc>
        <w:tc>
          <w:tcPr>
            <w:tcW w:type="dxa" w:w="25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Prueba de Wilcoxon. d de Cohen. IBM SPSS Statistics 27.</w:t>
            </w:r>
          </w:p>
        </w:tc>
      </w:tr>
      <w:tr>
        <w:tc>
          <w:tcPr>
            <w:tcW w:type="dxa" w:w="15398"/>
            <w:gridSpan w:val="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A8D5B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INSTRUMENTO 3: Cuestionario SUS Adaptado – Evaluación de Usabilidad del Sistema PlantAI (n=30 usuarios)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7A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ÍTEM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7A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DIMENSIÓN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7A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7A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PREGUNTA / ENUNCIADO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7A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ESCALA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7A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7A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INSTRUMENTO</w:t>
            </w:r>
          </w:p>
        </w:tc>
        <w:tc>
          <w:tcPr>
            <w:tcW w:type="dxa" w:w="25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7A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SUS-01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Facilidad de uso general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Usabilidad percibida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Creo que me gustaría usar este sistema con frecuencia.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Likert 1–5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1=Muy en desacuerdo, 5=Muy de acuerdo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Cuestionario SUS Adaptado (CSA-03)</w:t>
            </w:r>
          </w:p>
        </w:tc>
        <w:tc>
          <w:tcPr>
            <w:tcW w:type="dxa" w:w="25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Brooke (1996); adaptado al contexto agrícola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SUS-02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Facilidad de uso general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Usabilidad percibida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Encontré el sistema innecesariamente complejo.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Likert 1–5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1=Muy en desacuerdo, 5=Muy de acuerdo (ítem inverso)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Cuestionario SUS Adaptado (CSA-03)</w:t>
            </w:r>
          </w:p>
        </w:tc>
        <w:tc>
          <w:tcPr>
            <w:tcW w:type="dxa" w:w="25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Brooke (1996)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SUS-03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Facilidad de uso general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Usabilidad percibida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Pensé que el sistema era fácil de usar.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Likert 1–5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1=Muy en desacuerdo, 5=Muy de acuerdo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Cuestionario SUS Adaptado (CSA-03)</w:t>
            </w:r>
          </w:p>
        </w:tc>
        <w:tc>
          <w:tcPr>
            <w:tcW w:type="dxa" w:w="25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Brooke (1996)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SUS-04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Facilidad de uso general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Usabilidad percibida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Creo que necesitaría el apoyo de un técnico para poder usar este sistema.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Likert 1–5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1=Muy en desacuerdo, 5=Muy de acuerdo (ítem inverso)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Cuestionario SUS Adaptado (CSA-03)</w:t>
            </w:r>
          </w:p>
        </w:tc>
        <w:tc>
          <w:tcPr>
            <w:tcW w:type="dxa" w:w="25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Brooke (1996)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SUS-05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Funcionalidad percibida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Adecuación funcional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Encontré que las funciones del sistema estaban bien integradas.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Likert 1–5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1=Muy en desacuerdo, 5=Muy de acuerdo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Cuestionario SUS Adaptado (CSA-03)</w:t>
            </w:r>
          </w:p>
        </w:tc>
        <w:tc>
          <w:tcPr>
            <w:tcW w:type="dxa" w:w="25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Brooke (1996)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SUS-06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Funcionalidad percibida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Adecuación funcional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Noté demasiada inconsistencia en el sistema.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Likert 1–5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1=Muy en desacuerdo, 5=Muy de acuerdo (ítem inverso)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Cuestionario SUS Adaptado (CSA-03)</w:t>
            </w:r>
          </w:p>
        </w:tc>
        <w:tc>
          <w:tcPr>
            <w:tcW w:type="dxa" w:w="25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Brooke (1996)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SUS-07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Aprendizaje y confianza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Capacidad de aprendizaje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Imagino que la mayoría de personas aprendería a usar este sistema muy rápidamente.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Likert 1–5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1=Muy en desacuerdo, 5=Muy de acuerdo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Cuestionario SUS Adaptado (CSA-03)</w:t>
            </w:r>
          </w:p>
        </w:tc>
        <w:tc>
          <w:tcPr>
            <w:tcW w:type="dxa" w:w="25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Brooke (1996)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SUS-08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Aprendizaje y confianza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Capacidad de aprendizaje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Encontré el sistema muy difícil de usar.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Likert 1–5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1=Muy en desacuerdo, 5=Muy de acuerdo (ítem inverso)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Cuestionario SUS Adaptado (CSA-03)</w:t>
            </w:r>
          </w:p>
        </w:tc>
        <w:tc>
          <w:tcPr>
            <w:tcW w:type="dxa" w:w="25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Brooke (1996)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SUS-09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Aprendizaje y confianza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Confianza en el sistema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 sentí muy seguro/a usando el sistema.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Likert 1–5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1=Muy en desacuerdo, 5=Muy de acuerdo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Cuestionario SUS Adaptado (CSA-03)</w:t>
            </w:r>
          </w:p>
        </w:tc>
        <w:tc>
          <w:tcPr>
            <w:tcW w:type="dxa" w:w="25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Brooke (1996)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SUS-10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Aprendizaje y confianza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Confianza en el sistema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Necesité aprender muchas cosas antes de empezar a usar este sistema.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Likert 1–5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1=Muy en desacuerdo, 5=Muy de acuerdo (ítem inverso)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Cuestionario SUS Adaptado (CSA-03)</w:t>
            </w:r>
          </w:p>
        </w:tc>
        <w:tc>
          <w:tcPr>
            <w:tcW w:type="dxa" w:w="25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Brooke (1996)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A8D5B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PUNTUACIÓN GLOBAL SUS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A8D5B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Satisfacción del usuario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A8D5B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Puntuación SUS media del sistema (n=30)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A8D5B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Fórmula SUS: Σ[(ítem impar – 1) + (5 – ítem par)] × 2.5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Puntuación individual: 0–100 (escala original) / 1–5 (adaptada)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Media grupal: ___  |  DE: ___  |  IC 95%: [___, ___]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Prueba t de Student: t(___)=___, p=___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N=30 participantes (propietarios de huertos, Huancayo)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A8D5B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Razón (1–5)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A8D5B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Umbral mínimo: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≥ 4.0 / 5.0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(equivalente a SUS ≥ 70)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A8D5B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Cuestionario SUS Adaptado (CSA-03)</w:t>
            </w:r>
          </w:p>
        </w:tc>
        <w:tc>
          <w:tcPr>
            <w:tcW w:type="dxa" w:w="259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A8D5B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Brooke (1996); IBM SPSS Statistics 27; prueba Shapiro-Wilk + t de Student.</w:t>
            </w:r>
          </w:p>
        </w:tc>
      </w:tr>
      <w:tr>
        <w:tc>
          <w:tcPr>
            <w:tcW w:type="dxa" w:w="15398"/>
            <w:gridSpan w:val="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Nota. FRM-01 = Ficha de Registro de Modelos (Variable Independiente). RMF-02 = Registro de Métricas por Fold (Variable Dependiente – métricas del modelo). CSA-03 = Cuestionario SUS Adaptado (Variable Dependiente – usabilidad).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Los ítems SUS pares (02, 04, 06, 08, 10) son ítems inversos: puntúan en sentido contrario para el cálculo de la puntuación global. Elaboración propia basada en Bastidas Vilca (2026) y Brooke (1996).</w:t>
            </w:r>
          </w:p>
        </w:tc>
      </w:tr>
    </w:tbl>
    <w:p>
      <w:pPr>
        <w:sectPr>
          <w:pgSz w:w="11906" w:h="16838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60"/>
      </w:pPr>
      <w:r>
        <w:rPr>
          <w:rFonts w:ascii="Arial" w:cs="Arial" w:eastAsia="Arial" w:hAnsi="Arial"/>
          <w:b/>
          <w:bCs/>
          <w:color w:val="1F7A4D"/>
          <w:sz w:val="20"/>
          <w:szCs w:val="20"/>
        </w:rPr>
        <w:t xml:space="preserve">UNIVERSIDAD CONTINENTAL – FACULTAD DE INGENIERÍA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Escuela Académico Profesional de Ingeniería de Sistemas e Informática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F7A4D"/>
          <w:sz w:val="26"/>
          <w:szCs w:val="26"/>
        </w:rPr>
        <w:t xml:space="preserve">FICHAS DETALLADAS DE INSTRUMENTOS DE RECOLECCIÓN DE DATOS</w:t>
      </w:r>
    </w:p>
    <w:p>
      <w:pPr>
        <w:pBdr>
          <w:bottom w:val="single" w:color="1F7A4D" w:sz="4" w:space="1"/>
        </w:pBdr>
        <w:spacing w:after="140" w:before="140"/>
      </w:pP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INSTRUMENTO 1: Ficha de Registro de Modelos CNN (FRM-01)</w:t>
      </w:r>
    </w:p>
    <w:p>
      <w:pPr>
        <w:spacing w:after="10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Este instrumento registra la configuración completa de cada experimento de fine-tuning, garantizando la trazabilidad del proceso de desarrollo del modelo PlantAI conforme a ISO 9001:2015 (cláusula 7.5 – Información documentada).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Código del instrumento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FRM-01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Nombre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Ficha de Registro de Modelos CNN con Fine-Tuning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Variable que mide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Variable Independiente (VI): Modelo CNN con fine-tuning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Objetivo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Registrar de manera sistemática la configuración de cada experimento de fine-tuning, incluyendo arquitectura, hiperparámetros y características del dataset, para garantizar la trazabilidad y reproducibilidad del proceso.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N.° de registros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ficha por experimento × 3 arquitecturas × 2 condiciones (base / fine-tuned) = mínimo 6 registros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Técnica de aplicación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Experimentación computacional – registro automático en logs de TensorFlow y completado manual de la ficha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Momento de aplicación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Durante y al finalizar cada experimento de entrenamiento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Bastidas Vilca, Nikole Celeste (investigadora)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Software de soporte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TensorFlow 2.x / Keras, Python 3.10, Google Colab / GPU local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Validación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Revisada por Mg. Arana Caparachin, Maglioni (asesor de tesis)</w:t>
            </w:r>
          </w:p>
        </w:tc>
      </w:tr>
    </w:tbl>
    <w:p>
      <w:pPr>
        <w:spacing w:after="200"/>
      </w:pPr>
    </w:p>
    <w:p>
      <w:pPr>
        <w:pBdr>
          <w:bottom w:val="single" w:color="1F7A4D" w:sz="4" w:space="1"/>
        </w:pBdr>
        <w:spacing w:after="140" w:before="140"/>
      </w:pP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INSTRUMENTO 2: Registro de Métricas por Fold (RMF-02)</w:t>
      </w:r>
    </w:p>
    <w:p>
      <w:pPr>
        <w:spacing w:after="10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Este instrumento consolida los resultados de la validación cruzada k-fold (k=5) para las tres arquitecturas CNN evaluadas, en sus condiciones base y fine-tuned, permitiendo el contraste estadístico de las hipótesis H1 y H2.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Código del instrumento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RMF-02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Nombre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Registro de Métricas por Fold – Evaluación del Modelo CNN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Variable que mide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Variable Dependiente (VD): Desempeño en la detección de enfermedades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Objetivo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Consolidar las métricas de evaluación (accuracy, F1-score, precision, recall) obtenidas en cada fold de la validación cruzada k-fold (k=5), para las 3 arquitecturas en sus 2 condiciones (modelo base y modelo fine-tuned).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N.° de registros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folds × 3 arquitecturas × 2 condiciones = 30 registros de métricas por clase + resumen estadístico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Métricas registradas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Accuracy, F1-score (macro, weighted, por clase), Precision (por clase), Recall (por clase), Matriz de confusión, Δ Accuracy (fine-tuned – base), p-valor Wilcoxon, d de Cohen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Técnica de análisis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Validación cruzada k-fold (k=5). Prueba de Wilcoxon (muestras relacionadas, α=0.05). d de Cohen para tamaño del efecto.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Software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Python: scikit-learn (metrics), TensorFlow. Análisis estadístico: IBM SPSS Statistics 27.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Criterio de éxito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Accuracy ≥ 90%, F1-score ≥ 0.88 por clase, p-valor Wilcoxon &lt; 0.05 para H1 y H2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Validación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Revisada por Mg. Arana Caparachin, Maglioni (asesor de tesis)</w:t>
            </w:r>
          </w:p>
        </w:tc>
      </w:tr>
    </w:tbl>
    <w:p>
      <w:pPr>
        <w:spacing w:after="200"/>
      </w:pPr>
    </w:p>
    <w:p>
      <w:pPr>
        <w:pBdr>
          <w:bottom w:val="single" w:color="1F7A4D" w:sz="4" w:space="1"/>
        </w:pBdr>
        <w:spacing w:after="140" w:before="140"/>
      </w:pP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INSTRUMENTO 3: Cuestionario SUS Adaptado (CSA-03)</w:t>
      </w:r>
    </w:p>
    <w:p>
      <w:pPr>
        <w:spacing w:after="10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Instrumento de evaluación de usabilidad basado en el System Usability Scale (Brooke, 1996), adaptado a escala Likert 1–5 y al perfil de agricultores de huerto doméstico de Huancayo. Aplicado a n=30 participantes conforme a ISO/IEC 25010:2023 (usabilidad) e ISO/IEC/IEEE 29119 (pruebas de aceptación).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Código del instrumento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CSA-03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Nombre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Cuestionario SUS Adaptado – Evaluación de Usabilidad de PlantAI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Variable que mide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Variable Dependiente (VD): Usabilidad del sistema (dimensión complementaria)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Base teórica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Usability Scale (SUS) – Brooke (1996). Adaptado a escala Likert 1–5 para perfil de agricultores de huerto doméstico.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N.° de ítems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 ítems (5 positivos + 5 inversos)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Participantes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 = 30 propietarios de huertos domésticos de Huancayo, mayores de 18 años, con smartphone Android o iOS.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Escala de respuesta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Escala Likert 1–5: 1=Totalmente en desacuerdo, 2=En desacuerdo, 3=Neutral, 4=De acuerdo, 5=Totalmente de acuerdo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Puntuación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Ítems impares: puntaje = valor – 1. Ítems pares (inversos): puntaje = 5 – valor. Puntuación SUS adaptada = media de los 10 ítems (escala 1–5).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Puntuación media ≥ 4.0/5.0 (equivalente a SUS clásico ≥ 70, nivel 'Bueno')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Análisis estadístico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Prueba de normalidad: Shapiro-Wilk (n=30). Prueba t de Student para una muestra (μ₀=4.0). Estadísticas descriptivas por ítem. Software: IBM SPSS Statistics 27.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Modo de aplicación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Presencial, individual, con asistencia de la investigadora para aclarar dudas de comprensión. Duración estimada: 10 minutos.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F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Validación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Juicio de expertos (3 docentes universitarios). Prueba piloto con 5 usuarios antes de aplicación definitiva.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Dimensiones del Cuestionario SUS Adaptado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1800"/>
        <w:gridCol w:w="1500"/>
        <w:gridCol w:w="1538"/>
      </w:tblGrid>
      <w:tr>
        <w:trPr>
          <w:tblHeader/>
        </w:trP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7A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Dimensión SUS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7A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Ítems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7A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7A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N.° ítems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7A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15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7A4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Relación ISO 25010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Facilidad de uso general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SUS-01, SUS-02, SUS-03, SUS-04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Percepción global de facilidad de interacción con el sistema PlantAI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ítems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 ≥ 4.0/5.0</w:t>
            </w:r>
          </w:p>
        </w:tc>
        <w:tc>
          <w:tcPr>
            <w:tcW w:type="dxa" w:w="15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Usabilidad percibida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Funcionalidad percibida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SUS-05, SUS-06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Percepción de coherencia y completitud de las funciones del sistema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ítems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 ≥ 4.0/5.0</w:t>
            </w:r>
          </w:p>
        </w:tc>
        <w:tc>
          <w:tcPr>
            <w:tcW w:type="dxa" w:w="15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Adecuación funcional (ISO 25010)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Aprendizaje y confianza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SUS-07, SUS-08, SUS-09, SUS-10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Facilidad de aprendizaje y confianza del usuario al usar PlantAI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ítems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 ≥ 4.0/5.0</w:t>
            </w:r>
          </w:p>
        </w:tc>
        <w:tc>
          <w:tcPr>
            <w:tcW w:type="dxa" w:w="15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Capacidad de aprendizaje (ISO 25010)</w:t>
            </w:r>
          </w:p>
        </w:tc>
      </w:tr>
    </w:tbl>
    <w:p>
      <w:pPr>
        <w:spacing w:after="160"/>
      </w:pPr>
    </w:p>
    <w:p>
      <w:pPr>
        <w:pBdr>
          <w:bottom w:val="single" w:color="1F7A4D" w:sz="4" w:space="1"/>
        </w:pBdr>
        <w:spacing w:after="140" w:before="140"/>
      </w:pPr>
    </w:p>
    <w:p>
      <w:pPr>
        <w:spacing w:after="60" w:before="100"/>
        <w:jc w:val="lef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Nota. </w:t>
      </w:r>
      <w:r>
        <w:rPr>
          <w:rFonts w:ascii="Arial" w:cs="Arial" w:eastAsia="Arial" w:hAnsi="Arial"/>
          <w:sz w:val="18"/>
          <w:szCs w:val="18"/>
        </w:rPr>
        <w:t xml:space="preserve">Los tres instrumentos (FRM-01, RMF-02, CSA-03) fueron diseñados para la investigación "Detección de enfermedades en planta mediante CNN con fine-tuning" (Bastidas Vilca, 2026) y validados mediante juicio de expertos. La puntuación SUS adaptada se calcula en escala 1–5; el umbral de aceptación ≥ 4.0 equivale a un SUS clásico ≥ 70 (nivel 'Bueno' según Bangor et al., 2009).</w:t>
      </w:r>
    </w:p>
    <w:sectPr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color w:val="1F7A4D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7A4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2026-06-26T23:41:11.251Z</dcterms:created>
  <dcterms:modified xsi:type="dcterms:W3CDTF">2026-06-26T23:41:11.251Z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