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93A6C" w14:textId="7B8DFE4D" w:rsidR="0045263E" w:rsidRDefault="00E14123" w:rsidP="00946445">
      <w:pPr>
        <w:pStyle w:val="Titre"/>
        <w:jc w:val="center"/>
      </w:pPr>
      <w:r>
        <w:t>Quelques précisions sur le c</w:t>
      </w:r>
      <w:r w:rsidR="00946445">
        <w:t>orpus du manuscrit de thèse et sur DeCovarT</w:t>
      </w:r>
    </w:p>
    <w:p w14:paraId="765C790C" w14:textId="77777777" w:rsidR="00CC0A41" w:rsidRDefault="00CC0A41" w:rsidP="00CC0A41"/>
    <w:p w14:paraId="1A1CC145" w14:textId="388CF2CC" w:rsidR="00CC0A41" w:rsidRDefault="00CC0A41" w:rsidP="006C2F8A">
      <w:pPr>
        <w:pStyle w:val="Titre1"/>
      </w:pPr>
      <w:r>
        <w:t>Introduction biologique</w:t>
      </w:r>
    </w:p>
    <w:p w14:paraId="7E2A52D5" w14:textId="77777777" w:rsidR="006C2F8A" w:rsidRDefault="006C2F8A" w:rsidP="006C2F8A"/>
    <w:p w14:paraId="5743E7C1" w14:textId="16C12238" w:rsidR="00C775AD" w:rsidRDefault="00C775AD" w:rsidP="00C775AD">
      <w:r>
        <w:t xml:space="preserve">Une limite que tu avais évoqué </w:t>
      </w:r>
      <w:r w:rsidR="003F5BFB">
        <w:t xml:space="preserve">justement </w:t>
      </w:r>
      <w:r>
        <w:t>sur l’intro bio de ma thèse, notamment sur la présentation des méthodes physiques de quantification du transcriptome, résidait sur une description plus détaillée de leur c</w:t>
      </w:r>
      <w:r>
        <w:t>omplémentarité</w:t>
      </w:r>
      <w:r>
        <w:t>, eu égard</w:t>
      </w:r>
      <w:r w:rsidR="00217B2A">
        <w:t xml:space="preserve"> </w:t>
      </w:r>
      <w:r w:rsidR="00810BDA">
        <w:t>à une question de recherche sur une</w:t>
      </w:r>
      <w:r w:rsidR="00217B2A">
        <w:t xml:space="preserve"> maladie</w:t>
      </w:r>
      <w:r w:rsidR="00810BDA">
        <w:t xml:space="preserve"> donnée</w:t>
      </w:r>
      <w:r w:rsidR="00217B2A">
        <w:t>, et/ou aux modèles statistiques présentés dans la thèse</w:t>
      </w:r>
      <w:r w:rsidR="003F5BFB">
        <w:t xml:space="preserve">. J’avais partiellement répondu à cette question, </w:t>
      </w:r>
      <w:r w:rsidR="00A8634F">
        <w:t xml:space="preserve">mais aussi </w:t>
      </w:r>
      <w:r w:rsidR="003F5BFB">
        <w:t>supprimé une partie</w:t>
      </w:r>
      <w:r w:rsidR="00A8634F">
        <w:t xml:space="preserve"> ayant trait à ce sujet</w:t>
      </w:r>
      <w:r w:rsidR="003F5BFB">
        <w:t>, toujours présente dans une ancienne version</w:t>
      </w:r>
      <w:r w:rsidR="00A8634F">
        <w:t>, et finalement relégué une dernière partie dans la section glossaires de mon manuscrit</w:t>
      </w:r>
      <w:r w:rsidR="003D62CE">
        <w:t>.</w:t>
      </w:r>
    </w:p>
    <w:p w14:paraId="63AFE5F6" w14:textId="03BAC983" w:rsidR="003D62CE" w:rsidRDefault="003D62CE" w:rsidP="00C775AD">
      <w:r>
        <w:t>Quelques éléments de réponse ci-dessous :</w:t>
      </w:r>
    </w:p>
    <w:p w14:paraId="104DE4D8" w14:textId="4844598E" w:rsidR="00FA7B15" w:rsidRDefault="00C775AD" w:rsidP="000403B4">
      <w:pPr>
        <w:pStyle w:val="Paragraphedeliste"/>
        <w:numPr>
          <w:ilvl w:val="0"/>
          <w:numId w:val="11"/>
        </w:numPr>
      </w:pPr>
      <w:r>
        <w:t>pour des études de corrélation,</w:t>
      </w:r>
      <w:r w:rsidR="00905E0F">
        <w:t xml:space="preserve"> de reconstruction de réseau</w:t>
      </w:r>
      <w:r>
        <w:t xml:space="preserve"> ou de comparaisons relatives</w:t>
      </w:r>
      <w:r w:rsidR="00905E0F">
        <w:t xml:space="preserve"> visant à identifier un set minimal et robuste de gènes spécifiques d’une condition donnée</w:t>
      </w:r>
      <w:r>
        <w:t xml:space="preserve">, </w:t>
      </w:r>
      <w:r w:rsidR="00905E0F">
        <w:t>les mêmes</w:t>
      </w:r>
      <w:r>
        <w:t xml:space="preserve"> performance</w:t>
      </w:r>
      <w:r w:rsidR="00905E0F">
        <w:t>s</w:t>
      </w:r>
      <w:r>
        <w:t xml:space="preserve"> </w:t>
      </w:r>
      <w:r w:rsidR="008B4773">
        <w:t xml:space="preserve">globales sont observées entre les technos </w:t>
      </w:r>
      <w:r>
        <w:t xml:space="preserve">microarray </w:t>
      </w:r>
      <w:r w:rsidR="008B4773">
        <w:t>et</w:t>
      </w:r>
      <w:r>
        <w:t xml:space="preserve"> RN</w:t>
      </w:r>
      <w:r w:rsidR="00AF1B7A">
        <w:t>A</w:t>
      </w:r>
      <w:r>
        <w:t>Seq</w:t>
      </w:r>
      <w:r w:rsidR="008B4773">
        <w:t xml:space="preserve">. </w:t>
      </w:r>
      <w:r>
        <w:t xml:space="preserve"> </w:t>
      </w:r>
      <w:r w:rsidR="00D63CBF">
        <w:t>C’est majoritairement</w:t>
      </w:r>
      <w:r>
        <w:t xml:space="preserve"> la quantification absolu</w:t>
      </w:r>
      <w:r w:rsidR="00D63CBF">
        <w:t>e, et donc dans une moindre mesure le niveau de significativité</w:t>
      </w:r>
      <w:r w:rsidR="00FA7B15">
        <w:t xml:space="preserve"> d’une différence, qui sera mieux capturé avec une techno RN</w:t>
      </w:r>
      <w:r w:rsidR="00AF1B7A">
        <w:t>A</w:t>
      </w:r>
      <w:r w:rsidR="00FA7B15">
        <w:t xml:space="preserve">Seq (pas de problème de saturation de la sonde, rencontré en microarray) -&gt; </w:t>
      </w:r>
    </w:p>
    <w:p w14:paraId="0A3176C4" w14:textId="55AAE69A" w:rsidR="0081027C" w:rsidRDefault="003D62CE" w:rsidP="000403B4">
      <w:pPr>
        <w:pStyle w:val="Paragraphedeliste"/>
        <w:numPr>
          <w:ilvl w:val="0"/>
          <w:numId w:val="11"/>
        </w:numPr>
      </w:pPr>
      <w:r>
        <w:t>Cependant</w:t>
      </w:r>
      <w:r w:rsidR="00FA7B15">
        <w:t>, les technos</w:t>
      </w:r>
      <w:r w:rsidR="00C775AD">
        <w:t xml:space="preserve"> RNASeq </w:t>
      </w:r>
      <w:r w:rsidR="00FA7B15">
        <w:t xml:space="preserve">sont beaucoup plus flexibles </w:t>
      </w:r>
      <w:r w:rsidR="00C775AD">
        <w:t xml:space="preserve">pour étudier des phénomènes tels que </w:t>
      </w:r>
      <w:r w:rsidR="00AF1B7A">
        <w:t>l’épissage alternatif</w:t>
      </w:r>
      <w:r w:rsidR="00FA7B15">
        <w:t>, c’est-à-dire découvrir de nouveaux variants de gènes, ou encore pour étudier plus finement la régulation de leur expression</w:t>
      </w:r>
      <w:r>
        <w:t xml:space="preserve"> </w:t>
      </w:r>
    </w:p>
    <w:p w14:paraId="2D1DDF4E" w14:textId="553DB373" w:rsidR="00C775AD" w:rsidRDefault="00FC1252" w:rsidP="0081027C">
      <w:pPr>
        <w:pStyle w:val="Paragraphedeliste"/>
        <w:numPr>
          <w:ilvl w:val="1"/>
          <w:numId w:val="11"/>
        </w:numPr>
      </w:pPr>
      <w:r>
        <w:t>Potentiellement</w:t>
      </w:r>
      <w:r w:rsidR="003D62CE">
        <w:t xml:space="preserve"> </w:t>
      </w:r>
      <w:r w:rsidR="00CC5013">
        <w:t xml:space="preserve">intéressantes pour des maladies complexes, tels que le SjS, qui ne présentent pas de signature génétique particulière, et </w:t>
      </w:r>
      <w:r w:rsidR="0081027C">
        <w:t>seraient donc potentiellement mieux caractérisés/différenciés via les voies de régulation du transcriptome</w:t>
      </w:r>
      <w:r w:rsidR="00CC5013">
        <w:t xml:space="preserve"> </w:t>
      </w:r>
    </w:p>
    <w:p w14:paraId="562245B1" w14:textId="599F3FB2" w:rsidR="00FC1252" w:rsidRDefault="00FC1252" w:rsidP="00684AA7">
      <w:pPr>
        <w:pStyle w:val="Paragraphedeliste"/>
        <w:numPr>
          <w:ilvl w:val="1"/>
          <w:numId w:val="11"/>
        </w:numPr>
      </w:pPr>
      <w:r>
        <w:t>Potentiellement</w:t>
      </w:r>
      <w:r w:rsidR="0081027C">
        <w:t xml:space="preserve"> utile pour distinguer deux populations cellulaires proches, qui pourraient éventuellement produire le même ensemble de transcripts</w:t>
      </w:r>
      <w:r>
        <w:t xml:space="preserve"> générales, mais présentaient des différences significatives sur la version des transcrits résultant d’un même gène</w:t>
      </w:r>
      <w:r w:rsidR="00D30CE0">
        <w:t xml:space="preserve">, ce qu’on appelle des </w:t>
      </w:r>
      <w:r w:rsidR="00D30CE0">
        <w:rPr>
          <w:i/>
          <w:iCs/>
        </w:rPr>
        <w:t>isoformes</w:t>
      </w:r>
      <w:r>
        <w:t xml:space="preserve"> -&gt; ce niveau de finesse est pour le moment « overlooked » dans les études réalisées par Servier</w:t>
      </w:r>
    </w:p>
    <w:p w14:paraId="6E0C6E60" w14:textId="095A5E15" w:rsidR="00C775AD" w:rsidRDefault="00FC1252" w:rsidP="00FC1252">
      <w:pPr>
        <w:pStyle w:val="Paragraphedeliste"/>
        <w:numPr>
          <w:ilvl w:val="0"/>
          <w:numId w:val="11"/>
        </w:numPr>
      </w:pPr>
      <w:r>
        <w:t xml:space="preserve">Finalement, les toutes </w:t>
      </w:r>
      <w:r w:rsidR="00C775AD">
        <w:t>nouvelles NGS</w:t>
      </w:r>
      <w:r>
        <w:t>, dites aussi de « troisième génération »,  si elles sont moins performantes à l’échelle globale du génome,</w:t>
      </w:r>
      <w:r w:rsidR="00D87939">
        <w:t xml:space="preserve"> ne requièrent pas de fragmentation préalable du génome (contrairement à la méthode </w:t>
      </w:r>
      <w:r w:rsidR="00D87939">
        <w:rPr>
          <w:i/>
          <w:iCs/>
        </w:rPr>
        <w:t>Illumina</w:t>
      </w:r>
      <w:r w:rsidR="00D87939">
        <w:t>, de la seconde génération), et</w:t>
      </w:r>
      <w:r>
        <w:t xml:space="preserve"> sont</w:t>
      </w:r>
      <w:r w:rsidR="00D87939">
        <w:t xml:space="preserve"> ainsi</w:t>
      </w:r>
      <w:r>
        <w:t xml:space="preserve"> plus précises pour décrire spécifiquement une version de transcrit</w:t>
      </w:r>
      <w:r w:rsidR="00C775AD">
        <w:t xml:space="preserve"> donné</w:t>
      </w:r>
      <w:r w:rsidR="007C3CCD">
        <w:t xml:space="preserve"> (autorisent du « long-read » sequencing)</w:t>
      </w:r>
      <w:r w:rsidR="00C775AD">
        <w:t xml:space="preserve"> </w:t>
      </w:r>
      <w:r>
        <w:t xml:space="preserve">ou pour séquencer des sections présentement de nombreuses répétitions du génome, en autorisant un séquençage </w:t>
      </w:r>
      <w:r w:rsidR="00D76307">
        <w:t xml:space="preserve">d’un brin d’ADN/ARNm beaucoup plus long -&gt; or, ces motifs fortement répétés jouent un rôle clé dans la régulation de l’expression transcriptomique. </w:t>
      </w:r>
    </w:p>
    <w:p w14:paraId="2A91231E" w14:textId="77777777" w:rsidR="00D87939" w:rsidRDefault="00D87939" w:rsidP="00D87939"/>
    <w:p w14:paraId="189283B8" w14:textId="20767A59" w:rsidR="00D87939" w:rsidRDefault="00D87939" w:rsidP="00D87939">
      <w:pPr>
        <w:rPr>
          <w:rFonts w:ascii="LMRoman10-Bold" w:hAnsi="LMRoman10-Bold" w:cs="LMRoman10-Bold"/>
          <w:kern w:val="0"/>
          <w:sz w:val="20"/>
          <w:szCs w:val="20"/>
        </w:rPr>
      </w:pPr>
      <w:r>
        <w:t>Etienne sera plus susceptible/pourra nuancer ces assertions que moi, si ces problématiques t’intéressent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w:t>
      </w:r>
      <w:r w:rsidR="003D4421">
        <w:t xml:space="preserve"> Voire aussi la clé </w:t>
      </w:r>
      <w:r w:rsidR="003D4421">
        <w:rPr>
          <w:rFonts w:ascii="LMRoman10-Bold" w:hAnsi="LMRoman10-Bold" w:cs="LMRoman10-Bold"/>
          <w:b/>
          <w:bCs/>
          <w:kern w:val="0"/>
          <w:sz w:val="20"/>
          <w:szCs w:val="20"/>
        </w:rPr>
        <w:t>RNA library</w:t>
      </w:r>
      <w:r w:rsidR="003D4421">
        <w:rPr>
          <w:rFonts w:ascii="LMRoman10-Bold" w:hAnsi="LMRoman10-Bold" w:cs="LMRoman10-Bold"/>
          <w:b/>
          <w:bCs/>
          <w:kern w:val="0"/>
          <w:sz w:val="20"/>
          <w:szCs w:val="20"/>
        </w:rPr>
        <w:t xml:space="preserve"> </w:t>
      </w:r>
      <w:r w:rsidR="003D4421">
        <w:rPr>
          <w:rFonts w:ascii="LMRoman10-Bold" w:hAnsi="LMRoman10-Bold" w:cs="LMRoman10-Bold"/>
          <w:kern w:val="0"/>
          <w:sz w:val="20"/>
          <w:szCs w:val="20"/>
        </w:rPr>
        <w:t xml:space="preserve"> à la toute fin de ma thèse, </w:t>
      </w:r>
      <w:r w:rsidR="001C36E3">
        <w:rPr>
          <w:rFonts w:ascii="LMRoman10-Bold" w:hAnsi="LMRoman10-Bold" w:cs="LMRoman10-Bold"/>
          <w:kern w:val="0"/>
          <w:sz w:val="20"/>
          <w:szCs w:val="20"/>
        </w:rPr>
        <w:t>détaillant</w:t>
      </w:r>
      <w:r w:rsidR="003D4421">
        <w:rPr>
          <w:rFonts w:ascii="LMRoman10-Bold" w:hAnsi="LMRoman10-Bold" w:cs="LMRoman10-Bold"/>
          <w:kern w:val="0"/>
          <w:sz w:val="20"/>
          <w:szCs w:val="20"/>
        </w:rPr>
        <w:t xml:space="preserve"> notamment l’illustration ci-dessous :</w:t>
      </w:r>
    </w:p>
    <w:p w14:paraId="529DBB86" w14:textId="3C23CFDD" w:rsidR="001C36E3" w:rsidRDefault="001C36E3" w:rsidP="00D87939">
      <w:pPr>
        <w:rPr>
          <w:rFonts w:ascii="LMRoman10-Bold" w:hAnsi="LMRoman10-Bold" w:cs="LMRoman10-Bold"/>
          <w:kern w:val="0"/>
          <w:sz w:val="20"/>
          <w:szCs w:val="20"/>
        </w:rPr>
      </w:pPr>
      <w:r w:rsidRPr="001C36E3">
        <w:rPr>
          <w:rFonts w:ascii="LMRoman10-Bold" w:hAnsi="LMRoman10-Bold" w:cs="LMRoman10-Bold"/>
          <w:noProof/>
          <w:kern w:val="0"/>
          <w:sz w:val="20"/>
          <w:szCs w:val="20"/>
        </w:rPr>
        <w:lastRenderedPageBreak/>
        <w:drawing>
          <wp:inline distT="0" distB="0" distL="0" distR="0" wp14:anchorId="4AEAFF62" wp14:editId="129A5821">
            <wp:extent cx="6484620" cy="1844040"/>
            <wp:effectExtent l="0" t="0" r="0" b="3810"/>
            <wp:docPr id="63289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62069"/>
                    <a:stretch/>
                  </pic:blipFill>
                  <pic:spPr bwMode="auto">
                    <a:xfrm>
                      <a:off x="0" y="0"/>
                      <a:ext cx="6484620" cy="1844040"/>
                    </a:xfrm>
                    <a:prstGeom prst="rect">
                      <a:avLst/>
                    </a:prstGeom>
                    <a:noFill/>
                    <a:ln>
                      <a:noFill/>
                    </a:ln>
                    <a:extLst>
                      <a:ext uri="{53640926-AAD7-44D8-BBD7-CCE9431645EC}">
                        <a14:shadowObscured xmlns:a14="http://schemas.microsoft.com/office/drawing/2010/main"/>
                      </a:ext>
                    </a:extLst>
                  </pic:spPr>
                </pic:pic>
              </a:graphicData>
            </a:graphic>
          </wp:inline>
        </w:drawing>
      </w:r>
    </w:p>
    <w:p w14:paraId="4DB9BAB6" w14:textId="020EDE4F" w:rsidR="00380824" w:rsidRDefault="00E42399" w:rsidP="00380824">
      <w:pPr>
        <w:pStyle w:val="Titre1"/>
      </w:pPr>
      <w:r w:rsidRPr="009854E5">
        <w:t>MMG</w:t>
      </w:r>
      <w:r w:rsidR="005B1773">
        <w:t xml:space="preserve"> in R</w:t>
      </w:r>
    </w:p>
    <w:p w14:paraId="5A66BFF3" w14:textId="35CC31BD" w:rsidR="00380824" w:rsidRPr="00380824" w:rsidRDefault="00380824" w:rsidP="00380824">
      <w:pPr>
        <w:pStyle w:val="Titre2"/>
      </w:pPr>
      <w:r>
        <w:t>Métrique ARI :</w:t>
      </w:r>
    </w:p>
    <w:p w14:paraId="0AF14225" w14:textId="729B7AEA" w:rsidR="00FF6D1F" w:rsidRPr="00FF6D1F" w:rsidRDefault="009854E5" w:rsidP="00FF6D1F">
      <w:pPr>
        <w:pStyle w:val="PrformatHTML"/>
        <w:rPr>
          <w:rFonts w:ascii="Segoe UI" w:hAnsi="Segoe UI" w:cs="Segoe UI"/>
          <w:i/>
          <w:iCs/>
          <w:color w:val="030303"/>
          <w:shd w:val="clear" w:color="auto" w:fill="FFFFFF"/>
        </w:rPr>
      </w:pPr>
      <w:r w:rsidRPr="009854E5">
        <w:rPr>
          <w:rFonts w:ascii="Segoe UI" w:hAnsi="Segoe UI" w:cs="Segoe UI"/>
          <w:color w:val="030303"/>
          <w:shd w:val="clear" w:color="auto" w:fill="FFFFFF"/>
        </w:rPr>
        <w:t>Les limitations principales d</w:t>
      </w:r>
      <w:r>
        <w:rPr>
          <w:rFonts w:ascii="Segoe UI" w:hAnsi="Segoe UI" w:cs="Segoe UI"/>
          <w:color w:val="030303"/>
          <w:shd w:val="clear" w:color="auto" w:fill="FFFFFF"/>
        </w:rPr>
        <w:t xml:space="preserve">e la métrique </w:t>
      </w:r>
      <w:hyperlink r:id="rId6" w:history="1">
        <w:r w:rsidRPr="00B56D12">
          <w:rPr>
            <w:rStyle w:val="Lienhypertexte"/>
            <w:rFonts w:ascii="Segoe UI" w:hAnsi="Segoe UI" w:cs="Segoe UI"/>
            <w:shd w:val="clear" w:color="auto" w:fill="FFFFFF"/>
          </w:rPr>
          <w:t>ARI</w:t>
        </w:r>
      </w:hyperlink>
      <w:r>
        <w:rPr>
          <w:rFonts w:ascii="Segoe UI" w:hAnsi="Segoe UI" w:cs="Segoe UI"/>
          <w:color w:val="030303"/>
          <w:shd w:val="clear" w:color="auto" w:fill="FFFFFF"/>
        </w:rPr>
        <w:t xml:space="preserve"> (Adjusted Rand Index) sont</w:t>
      </w:r>
      <w:r w:rsidRPr="009854E5">
        <w:rPr>
          <w:rFonts w:ascii="Segoe UI" w:hAnsi="Segoe UI" w:cs="Segoe UI"/>
          <w:color w:val="030303"/>
          <w:shd w:val="clear" w:color="auto" w:fill="FFFFFF"/>
        </w:rPr>
        <w:t xml:space="preserve"> principalement liées </w:t>
      </w:r>
      <w:r w:rsidR="00C75428">
        <w:rPr>
          <w:rFonts w:ascii="Segoe UI" w:hAnsi="Segoe UI" w:cs="Segoe UI"/>
          <w:color w:val="030303"/>
          <w:shd w:val="clear" w:color="auto" w:fill="FFFFFF"/>
        </w:rPr>
        <w:t xml:space="preserve">à la </w:t>
      </w:r>
      <w:r w:rsidR="00B97CC0">
        <w:rPr>
          <w:rFonts w:ascii="Segoe UI" w:hAnsi="Segoe UI" w:cs="Segoe UI"/>
          <w:color w:val="030303"/>
          <w:shd w:val="clear" w:color="auto" w:fill="FFFFFF"/>
        </w:rPr>
        <w:t>prise en compte de la bonne prédiction des clusters uniquement du fait du « hasard » via une</w:t>
      </w:r>
      <w:r w:rsidRPr="009854E5">
        <w:rPr>
          <w:rFonts w:ascii="Segoe UI" w:hAnsi="Segoe UI" w:cs="Segoe UI"/>
          <w:color w:val="030303"/>
          <w:shd w:val="clear" w:color="auto" w:fill="FFFFFF"/>
        </w:rPr>
        <w:t xml:space="preserve"> distribution hypergéométrique</w:t>
      </w:r>
      <w:r w:rsidR="00553A83">
        <w:rPr>
          <w:rFonts w:ascii="Segoe UI" w:hAnsi="Segoe UI" w:cs="Segoe UI"/>
          <w:color w:val="030303"/>
          <w:shd w:val="clear" w:color="auto" w:fill="FFFFFF"/>
        </w:rPr>
        <w:t xml:space="preserve">, pour évaluer la performance d’un algorithme de partition. </w:t>
      </w:r>
      <w:r w:rsidR="00C369BB">
        <w:rPr>
          <w:rFonts w:ascii="Segoe UI" w:hAnsi="Segoe UI" w:cs="Segoe UI"/>
          <w:color w:val="030303"/>
          <w:shd w:val="clear" w:color="auto" w:fill="FFFFFF"/>
        </w:rPr>
        <w:t xml:space="preserve"> Un autre papier compare une multitude de métriques d’évaluation de la performance d’algos de partitions, </w:t>
      </w:r>
      <w:r w:rsidR="00FF6D1F">
        <w:rPr>
          <w:rFonts w:ascii="Segoe UI" w:hAnsi="Segoe UI" w:cs="Segoe UI"/>
          <w:color w:val="030303"/>
          <w:shd w:val="clear" w:color="auto" w:fill="FFFFFF"/>
        </w:rPr>
        <w:t xml:space="preserve">dont le score ARI : </w:t>
      </w:r>
      <w:hyperlink r:id="rId7" w:history="1">
        <w:r w:rsidR="00FF6D1F" w:rsidRPr="00FF6D1F">
          <w:rPr>
            <w:rStyle w:val="Lienhypertexte"/>
            <w:rFonts w:ascii="Segoe UI" w:hAnsi="Segoe UI" w:cs="Segoe UI"/>
            <w:i/>
            <w:iCs/>
            <w:shd w:val="clear" w:color="auto" w:fill="FFFFFF"/>
          </w:rPr>
          <w:t>Understanding the Adjusted Rand Index and Other Partition Comparison Indices Based on Counting Object Pairs</w:t>
        </w:r>
      </w:hyperlink>
      <w:r w:rsidR="00FF6D1F">
        <w:rPr>
          <w:rFonts w:ascii="Segoe UI" w:hAnsi="Segoe UI" w:cs="Segoe UI"/>
          <w:i/>
          <w:iCs/>
          <w:color w:val="030303"/>
          <w:shd w:val="clear" w:color="auto" w:fill="FFFFFF"/>
        </w:rPr>
        <w:t>.</w:t>
      </w:r>
    </w:p>
    <w:p w14:paraId="7802CEBE" w14:textId="648349D9" w:rsidR="00C369BB" w:rsidRDefault="00C369BB" w:rsidP="009854E5">
      <w:pPr>
        <w:pStyle w:val="PrformatHTML"/>
        <w:rPr>
          <w:rFonts w:ascii="Segoe UI" w:hAnsi="Segoe UI" w:cs="Segoe UI"/>
          <w:color w:val="030303"/>
          <w:shd w:val="clear" w:color="auto" w:fill="FFFFFF"/>
        </w:rPr>
      </w:pPr>
    </w:p>
    <w:p w14:paraId="6E727A2C" w14:textId="763F5DEA" w:rsidR="00553A83" w:rsidRDefault="00553A83" w:rsidP="009854E5">
      <w:pPr>
        <w:pStyle w:val="PrformatHTML"/>
        <w:rPr>
          <w:rFonts w:ascii="Segoe UI" w:hAnsi="Segoe UI" w:cs="Segoe UI"/>
          <w:color w:val="030303"/>
          <w:shd w:val="clear" w:color="auto" w:fill="FFFFFF"/>
        </w:rPr>
      </w:pPr>
      <w:r>
        <w:rPr>
          <w:rFonts w:ascii="Segoe UI" w:hAnsi="Segoe UI" w:cs="Segoe UI"/>
          <w:color w:val="030303"/>
          <w:shd w:val="clear" w:color="auto" w:fill="FFFFFF"/>
        </w:rPr>
        <w:t>Les limites suivantes sont notamment à noter :</w:t>
      </w:r>
    </w:p>
    <w:p w14:paraId="10AF37C0" w14:textId="77777777" w:rsidR="00553A83" w:rsidRDefault="00553A83" w:rsidP="009854E5">
      <w:pPr>
        <w:pStyle w:val="PrformatHTML"/>
        <w:rPr>
          <w:rFonts w:ascii="Segoe UI" w:hAnsi="Segoe UI" w:cs="Segoe UI"/>
          <w:color w:val="030303"/>
          <w:shd w:val="clear" w:color="auto" w:fill="FFFFFF"/>
        </w:rPr>
      </w:pPr>
    </w:p>
    <w:p w14:paraId="7D9DD6C1" w14:textId="2BEE9938" w:rsidR="00553A83" w:rsidRPr="00553A83" w:rsidRDefault="00553A83" w:rsidP="00553A83">
      <w:pPr>
        <w:pStyle w:val="PrformatHTML"/>
        <w:numPr>
          <w:ilvl w:val="0"/>
          <w:numId w:val="2"/>
        </w:numPr>
        <w:rPr>
          <w:rFonts w:ascii="Segoe UI" w:hAnsi="Segoe UI" w:cs="Segoe UI"/>
          <w:color w:val="030303"/>
          <w:shd w:val="clear" w:color="auto" w:fill="FFFFFF"/>
        </w:rPr>
      </w:pPr>
      <w:r>
        <w:rPr>
          <w:rFonts w:ascii="Segoe UI" w:hAnsi="Segoe UI" w:cs="Segoe UI"/>
          <w:color w:val="030303"/>
          <w:shd w:val="clear" w:color="auto" w:fill="FFFFFF"/>
        </w:rPr>
        <w:t>ARI</w:t>
      </w:r>
      <w:r w:rsidRPr="00553A83">
        <w:rPr>
          <w:rFonts w:ascii="Segoe UI" w:hAnsi="Segoe UI" w:cs="Segoe UI"/>
          <w:color w:val="030303"/>
          <w:shd w:val="clear" w:color="auto" w:fill="FFFFFF"/>
        </w:rPr>
        <w:t xml:space="preserve"> n'est pas approprié lorsque les deux </w:t>
      </w:r>
      <w:r>
        <w:rPr>
          <w:rFonts w:ascii="Segoe UI" w:hAnsi="Segoe UI" w:cs="Segoe UI"/>
          <w:color w:val="030303"/>
          <w:shd w:val="clear" w:color="auto" w:fill="FFFFFF"/>
        </w:rPr>
        <w:t>méthodes de clustering</w:t>
      </w:r>
      <w:r w:rsidRPr="00553A83">
        <w:rPr>
          <w:rFonts w:ascii="Segoe UI" w:hAnsi="Segoe UI" w:cs="Segoe UI"/>
          <w:color w:val="030303"/>
          <w:shd w:val="clear" w:color="auto" w:fill="FFFFFF"/>
        </w:rPr>
        <w:t xml:space="preserve"> sont dépendant</w:t>
      </w:r>
      <w:r>
        <w:rPr>
          <w:rFonts w:ascii="Segoe UI" w:hAnsi="Segoe UI" w:cs="Segoe UI"/>
          <w:color w:val="030303"/>
          <w:shd w:val="clear" w:color="auto" w:fill="FFFFFF"/>
        </w:rPr>
        <w:t>es</w:t>
      </w:r>
      <w:r w:rsidRPr="00553A83">
        <w:rPr>
          <w:rFonts w:ascii="Segoe UI" w:hAnsi="Segoe UI" w:cs="Segoe UI"/>
          <w:color w:val="030303"/>
          <w:shd w:val="clear" w:color="auto" w:fill="FFFFFF"/>
        </w:rPr>
        <w:t>,</w:t>
      </w:r>
    </w:p>
    <w:p w14:paraId="2B44976F" w14:textId="74750BAE" w:rsidR="00553A83" w:rsidRPr="00553A83" w:rsidRDefault="00156F97" w:rsidP="00553A83">
      <w:pPr>
        <w:pStyle w:val="PrformatHTML"/>
        <w:numPr>
          <w:ilvl w:val="0"/>
          <w:numId w:val="2"/>
        </w:numPr>
        <w:rPr>
          <w:rFonts w:ascii="Segoe UI" w:hAnsi="Segoe UI" w:cs="Segoe UI"/>
          <w:color w:val="030303"/>
          <w:shd w:val="clear" w:color="auto" w:fill="FFFFFF"/>
        </w:rPr>
      </w:pPr>
      <w:r>
        <w:rPr>
          <w:rFonts w:ascii="Segoe UI" w:hAnsi="Segoe UI" w:cs="Segoe UI"/>
          <w:color w:val="030303"/>
          <w:shd w:val="clear" w:color="auto" w:fill="FFFFFF"/>
        </w:rPr>
        <w:t>ARI suppose une</w:t>
      </w:r>
      <w:r w:rsidR="00553A83" w:rsidRPr="00553A83">
        <w:rPr>
          <w:rFonts w:ascii="Segoe UI" w:hAnsi="Segoe UI" w:cs="Segoe UI"/>
          <w:color w:val="030303"/>
          <w:shd w:val="clear" w:color="auto" w:fill="FFFFFF"/>
        </w:rPr>
        <w:t xml:space="preserve"> taille </w:t>
      </w:r>
      <w:r>
        <w:rPr>
          <w:rFonts w:ascii="Segoe UI" w:hAnsi="Segoe UI" w:cs="Segoe UI"/>
          <w:color w:val="030303"/>
          <w:shd w:val="clear" w:color="auto" w:fill="FFFFFF"/>
        </w:rPr>
        <w:t xml:space="preserve">uniforme </w:t>
      </w:r>
      <w:r w:rsidR="00553A83" w:rsidRPr="00553A83">
        <w:rPr>
          <w:rFonts w:ascii="Segoe UI" w:hAnsi="Segoe UI" w:cs="Segoe UI"/>
          <w:color w:val="030303"/>
          <w:shd w:val="clear" w:color="auto" w:fill="FFFFFF"/>
        </w:rPr>
        <w:t>des clusters</w:t>
      </w:r>
      <w:r w:rsidR="00C27AD3">
        <w:rPr>
          <w:rFonts w:ascii="Segoe UI" w:hAnsi="Segoe UI" w:cs="Segoe UI"/>
          <w:color w:val="030303"/>
          <w:shd w:val="clear" w:color="auto" w:fill="FFFFFF"/>
        </w:rPr>
        <w:t>, et suppose une partition exacte (« hard clustering ») des groupes latents identifiés -&gt; non</w:t>
      </w:r>
      <w:r w:rsidR="00B56D12">
        <w:rPr>
          <w:rFonts w:ascii="Segoe UI" w:hAnsi="Segoe UI" w:cs="Segoe UI"/>
          <w:color w:val="030303"/>
          <w:shd w:val="clear" w:color="auto" w:fill="FFFFFF"/>
        </w:rPr>
        <w:t>-</w:t>
      </w:r>
      <w:r w:rsidR="00C27AD3">
        <w:rPr>
          <w:rFonts w:ascii="Segoe UI" w:hAnsi="Segoe UI" w:cs="Segoe UI"/>
          <w:color w:val="030303"/>
          <w:shd w:val="clear" w:color="auto" w:fill="FFFFFF"/>
        </w:rPr>
        <w:t xml:space="preserve">prise en compte </w:t>
      </w:r>
      <w:r w:rsidR="00553A83" w:rsidRPr="00553A83">
        <w:rPr>
          <w:rFonts w:ascii="Segoe UI" w:hAnsi="Segoe UI" w:cs="Segoe UI"/>
          <w:color w:val="030303"/>
          <w:shd w:val="clear" w:color="auto" w:fill="FFFFFF"/>
        </w:rPr>
        <w:t xml:space="preserve">du niveau d'entropie et </w:t>
      </w:r>
      <w:r w:rsidR="00C27AD3">
        <w:rPr>
          <w:rFonts w:ascii="Segoe UI" w:hAnsi="Segoe UI" w:cs="Segoe UI"/>
          <w:color w:val="030303"/>
          <w:shd w:val="clear" w:color="auto" w:fill="FFFFFF"/>
        </w:rPr>
        <w:t>de chevauchement</w:t>
      </w:r>
      <w:r w:rsidR="00553A83" w:rsidRPr="00553A83">
        <w:rPr>
          <w:rFonts w:ascii="Segoe UI" w:hAnsi="Segoe UI" w:cs="Segoe UI"/>
          <w:color w:val="030303"/>
          <w:shd w:val="clear" w:color="auto" w:fill="FFFFFF"/>
        </w:rPr>
        <w:t xml:space="preserve"> des clusters</w:t>
      </w:r>
    </w:p>
    <w:p w14:paraId="28062016" w14:textId="3D6D4E8E" w:rsidR="00CC10B6" w:rsidRDefault="00C62372" w:rsidP="00553A83">
      <w:pPr>
        <w:pStyle w:val="PrformatHTML"/>
        <w:numPr>
          <w:ilvl w:val="0"/>
          <w:numId w:val="2"/>
        </w:numPr>
        <w:rPr>
          <w:rFonts w:ascii="Segoe UI" w:hAnsi="Segoe UI" w:cs="Segoe UI"/>
          <w:color w:val="030303"/>
          <w:shd w:val="clear" w:color="auto" w:fill="FFFFFF"/>
        </w:rPr>
      </w:pPr>
      <w:r>
        <w:rPr>
          <w:rFonts w:ascii="Segoe UI" w:hAnsi="Segoe UI" w:cs="Segoe UI"/>
          <w:color w:val="030303"/>
          <w:shd w:val="clear" w:color="auto" w:fill="FFFFFF"/>
        </w:rPr>
        <w:t>ARI</w:t>
      </w:r>
      <w:r w:rsidR="00553A83" w:rsidRPr="00553A83">
        <w:rPr>
          <w:rFonts w:ascii="Segoe UI" w:hAnsi="Segoe UI" w:cs="Segoe UI"/>
          <w:color w:val="030303"/>
          <w:shd w:val="clear" w:color="auto" w:fill="FFFFFF"/>
        </w:rPr>
        <w:t xml:space="preserve"> ignore le caractère aléatoire de l'échantillonnage</w:t>
      </w:r>
      <w:r>
        <w:rPr>
          <w:rFonts w:ascii="Segoe UI" w:hAnsi="Segoe UI" w:cs="Segoe UI"/>
          <w:color w:val="030303"/>
          <w:shd w:val="clear" w:color="auto" w:fill="FFFFFF"/>
        </w:rPr>
        <w:t xml:space="preserve"> (particulièrement problématique pour de petits échantillons et en cas de fort déséquilibre de la taille des clusters -&gt; par chance, certains groupes ne pourraient pas du tout être présents dans le tirage)</w:t>
      </w:r>
    </w:p>
    <w:p w14:paraId="379AE5D0" w14:textId="1963BA70" w:rsidR="002223E1" w:rsidRPr="00B334AF" w:rsidRDefault="002223E1" w:rsidP="002223E1">
      <w:pPr>
        <w:pStyle w:val="Paragraphedeliste"/>
        <w:numPr>
          <w:ilvl w:val="0"/>
          <w:numId w:val="2"/>
        </w:numPr>
      </w:pPr>
      <w:r>
        <w:t>ARI propose uniquement une é</w:t>
      </w:r>
      <w:r w:rsidRPr="00B334AF">
        <w:t>valuation binaire uniquement (soit bien prédit, soit non)</w:t>
      </w:r>
      <w:r w:rsidR="00EB5617">
        <w:t xml:space="preserve">. De plus, </w:t>
      </w:r>
      <w:r w:rsidRPr="00B334AF">
        <w:t>la prédiction de certains clusters par rapport à d'autres pourrait être favorisée par l'utilisateur</w:t>
      </w:r>
      <w:r w:rsidR="00EB5617">
        <w:t xml:space="preserve"> (typiquement, dans mon cas de la stratification de patients Sjögren, on mettrait plus de poids à une méthode qui prédit correctement l’appartenance des patients au cluster C4, le plus pathogénique, with re</w:t>
      </w:r>
      <w:r w:rsidR="00DB0D6B">
        <w:t>spect to the three remaining clusters.</w:t>
      </w:r>
    </w:p>
    <w:p w14:paraId="1D876733" w14:textId="4383EDF6" w:rsidR="00C90E75" w:rsidRPr="00DB0D6B" w:rsidRDefault="00DB0D6B" w:rsidP="006A4F07">
      <w:pPr>
        <w:pStyle w:val="Paragraphedeliste"/>
        <w:numPr>
          <w:ilvl w:val="0"/>
          <w:numId w:val="2"/>
        </w:numPr>
        <w:rPr>
          <w:rFonts w:ascii="Segoe UI" w:hAnsi="Segoe UI" w:cs="Segoe UI"/>
          <w:color w:val="030303"/>
          <w:shd w:val="clear" w:color="auto" w:fill="FFFFFF"/>
        </w:rPr>
      </w:pPr>
      <w:r>
        <w:t xml:space="preserve">Métrique non </w:t>
      </w:r>
      <w:r w:rsidR="002223E1" w:rsidRPr="00B334AF">
        <w:t>adapté</w:t>
      </w:r>
      <w:r>
        <w:t>e</w:t>
      </w:r>
      <w:r w:rsidR="002223E1" w:rsidRPr="00B334AF">
        <w:t xml:space="preserve"> </w:t>
      </w:r>
      <w:r>
        <w:t xml:space="preserve">à la </w:t>
      </w:r>
      <w:r w:rsidR="002223E1" w:rsidRPr="00B334AF">
        <w:t>grande dimension</w:t>
      </w:r>
    </w:p>
    <w:p w14:paraId="739328E4" w14:textId="07F4C24D" w:rsidR="00496DA9" w:rsidRPr="005F630A" w:rsidRDefault="00C90E75" w:rsidP="009854E5">
      <w:pPr>
        <w:pStyle w:val="PrformatHTML"/>
        <w:rPr>
          <w:rFonts w:ascii="Segoe UI" w:hAnsi="Segoe UI" w:cs="Segoe UI"/>
          <w:b/>
          <w:bCs/>
          <w:color w:val="030303"/>
          <w:shd w:val="clear" w:color="auto" w:fill="FFFFFF"/>
        </w:rPr>
      </w:pPr>
      <w:r w:rsidRPr="005F630A">
        <w:rPr>
          <w:rFonts w:ascii="Segoe UI" w:hAnsi="Segoe UI" w:cs="Segoe UI"/>
          <w:b/>
          <w:bCs/>
          <w:color w:val="030303"/>
          <w:shd w:val="clear" w:color="auto" w:fill="FFFFFF"/>
        </w:rPr>
        <w:t>Le papier</w:t>
      </w:r>
      <w:r w:rsidR="00CC10B6" w:rsidRPr="005F630A">
        <w:rPr>
          <w:rFonts w:ascii="Segoe UI" w:hAnsi="Segoe UI" w:cs="Segoe UI"/>
          <w:b/>
          <w:bCs/>
          <w:color w:val="030303"/>
          <w:shd w:val="clear" w:color="auto" w:fill="FFFFFF"/>
        </w:rPr>
        <w:t xml:space="preserve"> </w:t>
      </w:r>
      <w:r w:rsidR="005B1773">
        <w:rPr>
          <w:rFonts w:ascii="Segoe UI" w:hAnsi="Segoe UI" w:cs="Segoe UI"/>
          <w:b/>
          <w:bCs/>
          <w:color w:val="030303"/>
          <w:shd w:val="clear" w:color="auto" w:fill="FFFFFF"/>
        </w:rPr>
        <w:t xml:space="preserve">de </w:t>
      </w:r>
      <w:r w:rsidR="00CC10B6" w:rsidRPr="005F630A">
        <w:rPr>
          <w:rFonts w:ascii="Segoe UI" w:hAnsi="Segoe UI" w:cs="Segoe UI"/>
          <w:b/>
          <w:bCs/>
          <w:color w:val="030303"/>
          <w:shd w:val="clear" w:color="auto" w:fill="FFFFFF"/>
        </w:rPr>
        <w:t>[@</w:t>
      </w:r>
      <w:r w:rsidR="00CC10B6" w:rsidRPr="005F630A">
        <w:rPr>
          <w:rFonts w:ascii="Segoe UI" w:hAnsi="Segoe UI" w:cs="Segoe UI"/>
          <w:b/>
          <w:bCs/>
          <w:color w:val="030303"/>
          <w:shd w:val="clear" w:color="auto" w:fill="FFFFFF"/>
        </w:rPr>
        <w:t>Martina Sundqvist</w:t>
      </w:r>
      <w:r w:rsidR="00CC10B6" w:rsidRPr="005F630A">
        <w:rPr>
          <w:rFonts w:ascii="Segoe UI" w:hAnsi="Segoe UI" w:cs="Segoe UI"/>
          <w:b/>
          <w:bCs/>
          <w:color w:val="030303"/>
          <w:shd w:val="clear" w:color="auto" w:fill="FFFFFF"/>
        </w:rPr>
        <w:t>, 2023]</w:t>
      </w:r>
      <w:r w:rsidR="00F16512" w:rsidRPr="005F630A">
        <w:rPr>
          <w:rFonts w:ascii="Segoe UI" w:hAnsi="Segoe UI" w:cs="Segoe UI"/>
          <w:b/>
          <w:bCs/>
          <w:color w:val="030303"/>
          <w:shd w:val="clear" w:color="auto" w:fill="FFFFFF"/>
        </w:rPr>
        <w:t xml:space="preserve"> se</w:t>
      </w:r>
      <w:r w:rsidR="00CC10B6" w:rsidRPr="005F630A">
        <w:rPr>
          <w:rFonts w:ascii="Segoe UI" w:hAnsi="Segoe UI" w:cs="Segoe UI"/>
          <w:b/>
          <w:bCs/>
          <w:color w:val="030303"/>
          <w:shd w:val="clear" w:color="auto" w:fill="FFFFFF"/>
        </w:rPr>
        <w:t xml:space="preserve"> propose </w:t>
      </w:r>
      <w:r w:rsidRPr="005F630A">
        <w:rPr>
          <w:rFonts w:ascii="Segoe UI" w:hAnsi="Segoe UI" w:cs="Segoe UI"/>
          <w:b/>
          <w:bCs/>
          <w:color w:val="030303"/>
          <w:shd w:val="clear" w:color="auto" w:fill="FFFFFF"/>
        </w:rPr>
        <w:t xml:space="preserve">de corriger les limites de cette approche en proposant une nouvelle métrique, MARI (pour Multinomial </w:t>
      </w:r>
      <w:r w:rsidRPr="005F630A">
        <w:rPr>
          <w:rFonts w:ascii="Segoe UI" w:hAnsi="Segoe UI" w:cs="Segoe UI"/>
          <w:b/>
          <w:bCs/>
          <w:color w:val="030303"/>
          <w:shd w:val="clear" w:color="auto" w:fill="FFFFFF"/>
        </w:rPr>
        <w:t>Adjusted Rand Index</w:t>
      </w:r>
      <w:r w:rsidRPr="005F630A">
        <w:rPr>
          <w:rFonts w:ascii="Segoe UI" w:hAnsi="Segoe UI" w:cs="Segoe UI"/>
          <w:b/>
          <w:bCs/>
          <w:color w:val="030303"/>
          <w:shd w:val="clear" w:color="auto" w:fill="FFFFFF"/>
        </w:rPr>
        <w:t xml:space="preserve">), </w:t>
      </w:r>
      <w:r w:rsidR="00F16512" w:rsidRPr="005F630A">
        <w:rPr>
          <w:rFonts w:ascii="Segoe UI" w:hAnsi="Segoe UI" w:cs="Segoe UI"/>
          <w:b/>
          <w:bCs/>
          <w:color w:val="030303"/>
          <w:shd w:val="clear" w:color="auto" w:fill="FFFFFF"/>
        </w:rPr>
        <w:t xml:space="preserve">qui </w:t>
      </w:r>
      <w:r w:rsidR="00F16512" w:rsidRPr="005F630A">
        <w:rPr>
          <w:rFonts w:ascii="Segoe UI" w:hAnsi="Segoe UI" w:cs="Segoe UI"/>
          <w:b/>
          <w:bCs/>
          <w:color w:val="030303"/>
          <w:shd w:val="clear" w:color="auto" w:fill="FFFFFF"/>
        </w:rPr>
        <w:t xml:space="preserve">n'impose pas la taille des clusters et </w:t>
      </w:r>
      <w:r w:rsidR="00F16512" w:rsidRPr="005F630A">
        <w:rPr>
          <w:rFonts w:ascii="Segoe UI" w:hAnsi="Segoe UI" w:cs="Segoe UI"/>
          <w:b/>
          <w:bCs/>
          <w:color w:val="030303"/>
          <w:shd w:val="clear" w:color="auto" w:fill="FFFFFF"/>
        </w:rPr>
        <w:t xml:space="preserve">prend en compte </w:t>
      </w:r>
      <w:r w:rsidR="005F630A" w:rsidRPr="005F630A">
        <w:rPr>
          <w:rFonts w:ascii="Segoe UI" w:hAnsi="Segoe UI" w:cs="Segoe UI"/>
          <w:b/>
          <w:bCs/>
          <w:color w:val="030303"/>
          <w:shd w:val="clear" w:color="auto" w:fill="FFFFFF"/>
        </w:rPr>
        <w:t>le biais aléatoire d’échantillonnage</w:t>
      </w:r>
      <w:r w:rsidR="00F16512" w:rsidRPr="005F630A">
        <w:rPr>
          <w:rFonts w:ascii="Segoe UI" w:hAnsi="Segoe UI" w:cs="Segoe UI"/>
          <w:b/>
          <w:bCs/>
          <w:color w:val="030303"/>
          <w:shd w:val="clear" w:color="auto" w:fill="FFFFFF"/>
        </w:rPr>
        <w:t>.</w:t>
      </w:r>
    </w:p>
    <w:p w14:paraId="35F5B39E" w14:textId="77777777" w:rsidR="00496DA9" w:rsidRDefault="00496DA9" w:rsidP="009854E5">
      <w:pPr>
        <w:pStyle w:val="PrformatHTML"/>
        <w:rPr>
          <w:rFonts w:ascii="Segoe UI" w:hAnsi="Segoe UI" w:cs="Segoe UI"/>
          <w:color w:val="030303"/>
          <w:shd w:val="clear" w:color="auto" w:fill="FFFFFF"/>
        </w:rPr>
      </w:pPr>
    </w:p>
    <w:p w14:paraId="63CBA739" w14:textId="626BB73E" w:rsidR="009854E5" w:rsidRDefault="00043F5D" w:rsidP="009854E5">
      <w:pPr>
        <w:pStyle w:val="PrformatHTML"/>
        <w:rPr>
          <w:rFonts w:ascii="Segoe UI" w:hAnsi="Segoe UI" w:cs="Segoe UI"/>
          <w:color w:val="FF0000"/>
          <w:shd w:val="clear" w:color="auto" w:fill="FFFFFF"/>
        </w:rPr>
      </w:pPr>
      <w:r w:rsidRPr="000F76A8">
        <w:rPr>
          <w:rFonts w:ascii="Segoe UI" w:hAnsi="Segoe UI" w:cs="Segoe UI"/>
          <w:color w:val="FF0000"/>
          <w:shd w:val="clear" w:color="auto" w:fill="FFFFFF"/>
        </w:rPr>
        <w:t xml:space="preserve">Je n’ai pas lu en détail le papier, mais dans l’abstract, vous évoquez </w:t>
      </w:r>
      <w:r w:rsidR="0027170D" w:rsidRPr="000F76A8">
        <w:rPr>
          <w:rFonts w:ascii="Segoe UI" w:hAnsi="Segoe UI" w:cs="Segoe UI"/>
          <w:color w:val="FF0000"/>
          <w:shd w:val="clear" w:color="auto" w:fill="FFFFFF"/>
        </w:rPr>
        <w:t xml:space="preserve">un écart </w:t>
      </w:r>
      <w:r w:rsidR="000F76A8" w:rsidRPr="000F76A8">
        <w:rPr>
          <w:rFonts w:ascii="Segoe UI" w:hAnsi="Segoe UI" w:cs="Segoe UI"/>
          <w:color w:val="FF0000"/>
          <w:shd w:val="clear" w:color="auto" w:fill="FFFFFF"/>
        </w:rPr>
        <w:t>significatif</w:t>
      </w:r>
      <w:r w:rsidR="0027170D" w:rsidRPr="000F76A8">
        <w:rPr>
          <w:rFonts w:ascii="Segoe UI" w:hAnsi="Segoe UI" w:cs="Segoe UI"/>
          <w:color w:val="FF0000"/>
          <w:shd w:val="clear" w:color="auto" w:fill="FFFFFF"/>
        </w:rPr>
        <w:t xml:space="preserve"> entre</w:t>
      </w:r>
      <w:r w:rsidR="009854E5" w:rsidRPr="000F76A8">
        <w:rPr>
          <w:rFonts w:ascii="Segoe UI" w:hAnsi="Segoe UI" w:cs="Segoe UI"/>
          <w:color w:val="FF0000"/>
          <w:shd w:val="clear" w:color="auto" w:fill="FFFFFF"/>
        </w:rPr>
        <w:t xml:space="preserve"> l'ARI et le MARI pour de petites valeurs de </w:t>
      </w:r>
      <w:r w:rsidR="009854E5" w:rsidRPr="000F76A8">
        <w:rPr>
          <w:rFonts w:ascii="Segoe UI" w:hAnsi="Segoe UI" w:cs="Segoe UI"/>
          <w:i/>
          <w:iCs/>
          <w:color w:val="FF0000"/>
          <w:shd w:val="clear" w:color="auto" w:fill="FFFFFF"/>
        </w:rPr>
        <w:t>n</w:t>
      </w:r>
      <w:r w:rsidR="0027170D" w:rsidRPr="000F76A8">
        <w:rPr>
          <w:rFonts w:ascii="Segoe UI" w:hAnsi="Segoe UI" w:cs="Segoe UI"/>
          <w:color w:val="FF0000"/>
          <w:shd w:val="clear" w:color="auto" w:fill="FFFFFF"/>
        </w:rPr>
        <w:t xml:space="preserve">, avec </w:t>
      </w:r>
      <w:r w:rsidR="0027170D" w:rsidRPr="000F76A8">
        <w:rPr>
          <w:rFonts w:ascii="Segoe UI" w:hAnsi="Segoe UI" w:cs="Segoe UI"/>
          <w:i/>
          <w:iCs/>
          <w:color w:val="FF0000"/>
          <w:shd w:val="clear" w:color="auto" w:fill="FFFFFF"/>
        </w:rPr>
        <w:t xml:space="preserve">n </w:t>
      </w:r>
      <w:r w:rsidR="0027170D" w:rsidRPr="000F76A8">
        <w:rPr>
          <w:rFonts w:ascii="Segoe UI" w:hAnsi="Segoe UI" w:cs="Segoe UI"/>
          <w:color w:val="FF0000"/>
          <w:shd w:val="clear" w:color="auto" w:fill="FFFFFF"/>
        </w:rPr>
        <w:t xml:space="preserve">le nombre d’observations. Est-ce que vous avez aussi testé l’impact de l’overlap et du déséquilibre des clusters sur le niveau de ce biais ? </w:t>
      </w:r>
      <w:r w:rsidR="009854E5" w:rsidRPr="000F76A8">
        <w:rPr>
          <w:rFonts w:ascii="Segoe UI" w:hAnsi="Segoe UI" w:cs="Segoe UI"/>
          <w:color w:val="FF0000"/>
          <w:shd w:val="clear" w:color="auto" w:fill="FFFFFF"/>
        </w:rPr>
        <w:t xml:space="preserve"> </w:t>
      </w:r>
    </w:p>
    <w:p w14:paraId="51765B3C" w14:textId="77777777" w:rsidR="00380824" w:rsidRDefault="00380824" w:rsidP="009854E5">
      <w:pPr>
        <w:pStyle w:val="PrformatHTML"/>
        <w:rPr>
          <w:rFonts w:ascii="Segoe UI" w:hAnsi="Segoe UI" w:cs="Segoe UI"/>
          <w:color w:val="FF0000"/>
          <w:shd w:val="clear" w:color="auto" w:fill="FFFFFF"/>
        </w:rPr>
      </w:pPr>
    </w:p>
    <w:p w14:paraId="6FA16447" w14:textId="426EBC40" w:rsidR="00380824" w:rsidRDefault="007702D2" w:rsidP="007702D2">
      <w:pPr>
        <w:pStyle w:val="Titre2"/>
        <w:rPr>
          <w:shd w:val="clear" w:color="auto" w:fill="FFFFFF"/>
        </w:rPr>
      </w:pPr>
      <w:r>
        <w:rPr>
          <w:shd w:val="clear" w:color="auto" w:fill="FFFFFF"/>
        </w:rPr>
        <w:t>Overlap</w:t>
      </w:r>
    </w:p>
    <w:p w14:paraId="1A71C83D" w14:textId="77777777" w:rsidR="007702D2" w:rsidRDefault="007702D2" w:rsidP="007702D2"/>
    <w:p w14:paraId="2BD143D4" w14:textId="75D3D4B8" w:rsidR="007702D2" w:rsidRDefault="007702D2" w:rsidP="007702D2">
      <w:r>
        <w:t xml:space="preserve">Au cas où tu serais intéressé par cette </w:t>
      </w:r>
      <w:r w:rsidR="00FB4BD8">
        <w:t>mesure</w:t>
      </w:r>
      <w:r w:rsidR="007613C5">
        <w:t xml:space="preserve"> de similarité entre deux modèles de mélange (à voir comment elle se distingue d’une métrique d’entropie sur les distributions, ou d’une distance de </w:t>
      </w:r>
      <w:r w:rsidR="004344AE">
        <w:t>Hellinger</w:t>
      </w:r>
      <w:r w:rsidR="00FB4BD8">
        <w:t xml:space="preserve">), je peux te proposer les </w:t>
      </w:r>
      <w:r w:rsidR="00810C23">
        <w:t>trois</w:t>
      </w:r>
      <w:r w:rsidR="00FB4BD8">
        <w:t xml:space="preserve"> ressources suivantes :</w:t>
      </w:r>
    </w:p>
    <w:p w14:paraId="40B85B67" w14:textId="11AE7440" w:rsidR="00FB4BD8" w:rsidRPr="001C276F" w:rsidRDefault="00E678DD" w:rsidP="00433B60">
      <w:pPr>
        <w:pStyle w:val="Paragraphedeliste"/>
        <w:numPr>
          <w:ilvl w:val="0"/>
          <w:numId w:val="4"/>
        </w:numPr>
      </w:pPr>
      <w:r w:rsidRPr="00E367EA">
        <w:rPr>
          <w:rFonts w:ascii="Segoe UI" w:hAnsi="Segoe UI" w:cs="Segoe UI"/>
          <w:color w:val="374151"/>
        </w:rPr>
        <w:t xml:space="preserve">Dans le papier </w:t>
      </w:r>
      <w:hyperlink r:id="rId8" w:history="1">
        <w:r w:rsidR="005E1288" w:rsidRPr="005E1288">
          <w:rPr>
            <w:rStyle w:val="Lienhypertexte"/>
            <w:rFonts w:ascii="Segoe UI" w:hAnsi="Segoe UI" w:cs="Segoe UI"/>
            <w:i/>
            <w:iCs/>
          </w:rPr>
          <w:t>Simulating Data to Study Performance of Finite Mixture Modeling and Clustering Algorithms</w:t>
        </w:r>
      </w:hyperlink>
      <w:r w:rsidRPr="00E367EA">
        <w:rPr>
          <w:rFonts w:ascii="Segoe UI" w:hAnsi="Segoe UI" w:cs="Segoe UI"/>
          <w:color w:val="374151"/>
        </w:rPr>
        <w:t xml:space="preserve"> [</w:t>
      </w:r>
      <w:r w:rsidR="009D58C1" w:rsidRPr="00E367EA">
        <w:rPr>
          <w:rFonts w:ascii="Segoe UI" w:hAnsi="Segoe UI" w:cs="Segoe UI"/>
          <w:color w:val="374151"/>
        </w:rPr>
        <w:t>maitra_melnykov10</w:t>
      </w:r>
      <w:r w:rsidRPr="00E367EA">
        <w:rPr>
          <w:rFonts w:ascii="Segoe UI" w:hAnsi="Segoe UI" w:cs="Segoe UI"/>
          <w:color w:val="374151"/>
        </w:rPr>
        <w:t xml:space="preserve">], une formule exacte </w:t>
      </w:r>
      <w:r w:rsidR="00631DDC" w:rsidRPr="00E367EA">
        <w:rPr>
          <w:rFonts w:ascii="Segoe UI" w:hAnsi="Segoe UI" w:cs="Segoe UI"/>
          <w:color w:val="374151"/>
        </w:rPr>
        <w:t xml:space="preserve">simplifiée </w:t>
      </w:r>
      <w:r w:rsidRPr="00E367EA">
        <w:rPr>
          <w:rFonts w:ascii="Segoe UI" w:hAnsi="Segoe UI" w:cs="Segoe UI"/>
          <w:color w:val="374151"/>
        </w:rPr>
        <w:t>est donnée pour le calcul de l’overlap</w:t>
      </w:r>
      <w:r w:rsidR="00631DDC" w:rsidRPr="00E367EA">
        <w:rPr>
          <w:rFonts w:ascii="Segoe UI" w:hAnsi="Segoe UI" w:cs="Segoe UI"/>
          <w:color w:val="374151"/>
        </w:rPr>
        <w:t xml:space="preserve"> (</w:t>
      </w:r>
      <w:r w:rsidR="00E367EA" w:rsidRPr="00E367EA">
        <w:rPr>
          <w:rFonts w:ascii="Segoe UI" w:hAnsi="Segoe UI" w:cs="Segoe UI"/>
          <w:color w:val="374151"/>
        </w:rPr>
        <w:t>cependant</w:t>
      </w:r>
      <w:r w:rsidR="00631DDC" w:rsidRPr="00E367EA">
        <w:rPr>
          <w:rFonts w:ascii="Segoe UI" w:hAnsi="Segoe UI" w:cs="Segoe UI"/>
          <w:color w:val="374151"/>
        </w:rPr>
        <w:t xml:space="preserve">, pas de solution pour déterminer les racines de cette fonction, nécessaires </w:t>
      </w:r>
      <w:r w:rsidR="00E367EA" w:rsidRPr="00E367EA">
        <w:rPr>
          <w:rFonts w:ascii="Segoe UI" w:hAnsi="Segoe UI" w:cs="Segoe UI"/>
          <w:color w:val="374151"/>
        </w:rPr>
        <w:t xml:space="preserve">pour déterminer les « gaps » de probabilité, autrement dit quand une distribution passe au-dessus de l’autre). Le papier propose de plus </w:t>
      </w:r>
      <w:r w:rsidR="00E367EA">
        <w:rPr>
          <w:rFonts w:ascii="Segoe UI" w:hAnsi="Segoe UI" w:cs="Segoe UI"/>
          <w:color w:val="374151"/>
        </w:rPr>
        <w:t>une</w:t>
      </w:r>
      <w:r w:rsidR="009D58C1" w:rsidRPr="00E367EA">
        <w:rPr>
          <w:rFonts w:ascii="Segoe UI" w:hAnsi="Segoe UI" w:cs="Segoe UI"/>
          <w:color w:val="374151"/>
        </w:rPr>
        <w:t xml:space="preserve"> méthode </w:t>
      </w:r>
      <w:r w:rsidR="00E367EA">
        <w:rPr>
          <w:rFonts w:ascii="Segoe UI" w:hAnsi="Segoe UI" w:cs="Segoe UI"/>
          <w:color w:val="374151"/>
        </w:rPr>
        <w:t>heuristique et itérative pour simuler</w:t>
      </w:r>
      <w:r w:rsidR="009D58C1" w:rsidRPr="00E367EA">
        <w:rPr>
          <w:rFonts w:ascii="Segoe UI" w:hAnsi="Segoe UI" w:cs="Segoe UI"/>
          <w:color w:val="374151"/>
        </w:rPr>
        <w:t xml:space="preserve"> des </w:t>
      </w:r>
      <w:r w:rsidR="00E367EA">
        <w:rPr>
          <w:rFonts w:ascii="Segoe UI" w:hAnsi="Segoe UI" w:cs="Segoe UI"/>
          <w:color w:val="374151"/>
        </w:rPr>
        <w:t xml:space="preserve">mélanges </w:t>
      </w:r>
      <w:r w:rsidR="00E367EA">
        <w:rPr>
          <w:rFonts w:ascii="Segoe UI" w:hAnsi="Segoe UI" w:cs="Segoe UI"/>
          <w:color w:val="374151"/>
        </w:rPr>
        <w:lastRenderedPageBreak/>
        <w:t xml:space="preserve">de </w:t>
      </w:r>
      <w:r w:rsidR="009D58C1" w:rsidRPr="00E367EA">
        <w:rPr>
          <w:rFonts w:ascii="Segoe UI" w:hAnsi="Segoe UI" w:cs="Segoe UI"/>
          <w:color w:val="374151"/>
        </w:rPr>
        <w:t>distributions gaussiennes</w:t>
      </w:r>
      <w:r w:rsidR="00E367EA">
        <w:rPr>
          <w:rFonts w:ascii="Segoe UI" w:hAnsi="Segoe UI" w:cs="Segoe UI"/>
          <w:color w:val="374151"/>
        </w:rPr>
        <w:t xml:space="preserve">, selon </w:t>
      </w:r>
      <w:r w:rsidR="00DD2653">
        <w:rPr>
          <w:rFonts w:ascii="Segoe UI" w:hAnsi="Segoe UI" w:cs="Segoe UI"/>
          <w:color w:val="374151"/>
        </w:rPr>
        <w:t>une valeur d’overlap définie</w:t>
      </w:r>
      <w:r w:rsidR="009D58C1" w:rsidRPr="00E367EA">
        <w:rPr>
          <w:rFonts w:ascii="Segoe UI" w:hAnsi="Segoe UI" w:cs="Segoe UI"/>
          <w:color w:val="374151"/>
        </w:rPr>
        <w:t>.</w:t>
      </w:r>
      <w:r w:rsidR="009D58C1" w:rsidRPr="00E367EA">
        <w:rPr>
          <w:rFonts w:ascii="Segoe UI" w:hAnsi="Segoe UI" w:cs="Segoe UI"/>
          <w:color w:val="374151"/>
        </w:rPr>
        <w:t xml:space="preserve"> </w:t>
      </w:r>
      <w:r w:rsidR="001C276F">
        <w:rPr>
          <w:rFonts w:ascii="Segoe UI" w:hAnsi="Segoe UI" w:cs="Segoe UI"/>
          <w:color w:val="374151"/>
        </w:rPr>
        <w:t>Cette méthode de génération</w:t>
      </w:r>
      <w:r w:rsidR="009D58C1" w:rsidRPr="00E367EA">
        <w:rPr>
          <w:rFonts w:ascii="Segoe UI" w:hAnsi="Segoe UI" w:cs="Segoe UI"/>
          <w:color w:val="374151"/>
        </w:rPr>
        <w:t xml:space="preserve"> a été implémentée dans le package </w:t>
      </w:r>
      <w:hyperlink r:id="rId9" w:history="1">
        <w:r w:rsidR="009D58C1" w:rsidRPr="00E367EA">
          <w:rPr>
            <w:rStyle w:val="Lienhypertexte"/>
            <w:rFonts w:ascii="Segoe UI" w:hAnsi="Segoe UI" w:cs="Segoe UI"/>
          </w:rPr>
          <w:t>MixSim</w:t>
        </w:r>
      </w:hyperlink>
      <w:r w:rsidR="009D58C1" w:rsidRPr="00E367EA">
        <w:rPr>
          <w:rFonts w:ascii="Segoe UI" w:hAnsi="Segoe UI" w:cs="Segoe UI"/>
          <w:color w:val="374151"/>
        </w:rPr>
        <w:t>.</w:t>
      </w:r>
    </w:p>
    <w:p w14:paraId="49FD1D98" w14:textId="0BF3B880" w:rsidR="001C276F" w:rsidRPr="00997A77" w:rsidRDefault="00997A77" w:rsidP="00433B60">
      <w:pPr>
        <w:pStyle w:val="Paragraphedeliste"/>
        <w:numPr>
          <w:ilvl w:val="0"/>
          <w:numId w:val="4"/>
        </w:numPr>
      </w:pPr>
      <w:hyperlink r:id="rId10" w:history="1">
        <w:r w:rsidR="00810C23" w:rsidRPr="00997A77">
          <w:rPr>
            <w:rStyle w:val="Lienhypertexte"/>
          </w:rPr>
          <w:t>TRACTABLE MEASURE OF COMPONENT OVERLAP FOR GAUSSIAN MIXTURE MODELS</w:t>
        </w:r>
      </w:hyperlink>
      <w:r w:rsidRPr="00997A77">
        <w:t>, qui proposerait une méthode e</w:t>
      </w:r>
      <w:r>
        <w:t xml:space="preserve">xacte et </w:t>
      </w:r>
      <w:r w:rsidR="00A14DC5">
        <w:t>peu coûteuse en ressources de calcul</w:t>
      </w:r>
      <w:r w:rsidR="00402818">
        <w:t xml:space="preserve"> pour le calcul de l’overlap entre deux composantes issues de MMG.</w:t>
      </w:r>
      <w:r w:rsidR="00A14DC5">
        <w:t xml:space="preserve"> </w:t>
      </w:r>
    </w:p>
    <w:p w14:paraId="0E77F4AA" w14:textId="5B82BA8D" w:rsidR="00B334AF" w:rsidRPr="00B334AF" w:rsidRDefault="00B675DC" w:rsidP="00745F1D">
      <w:pPr>
        <w:pStyle w:val="Paragraphedeliste"/>
        <w:numPr>
          <w:ilvl w:val="0"/>
          <w:numId w:val="4"/>
        </w:numPr>
        <w:rPr>
          <w:i/>
          <w:iCs/>
        </w:rPr>
      </w:pPr>
      <w:hyperlink r:id="rId11" w:history="1">
        <w:r w:rsidRPr="00B334AF">
          <w:rPr>
            <w:rStyle w:val="Lienhypertexte"/>
            <w:i/>
            <w:iCs/>
          </w:rPr>
          <w:t>Measuring Distribution Similarities Between Samples: A Distribution-Free Overlapping Index</w:t>
        </w:r>
      </w:hyperlink>
      <w:r w:rsidR="00C87D66" w:rsidRPr="00B334AF">
        <w:rPr>
          <w:i/>
          <w:iCs/>
        </w:rPr>
        <w:t xml:space="preserve">, </w:t>
      </w:r>
      <w:r w:rsidR="00C87D66" w:rsidRPr="00C87D66">
        <w:t>pour calculer, via une méthode de Monte Carlo (du m</w:t>
      </w:r>
      <w:r w:rsidR="00C87D66">
        <w:t>ême style que celle pour évaluer l’aire d’un cercle), l’overlap entre deux densités de distribution (méthode générale, et non spécifique aux modèles de mélange)</w:t>
      </w:r>
      <w:r w:rsidR="00951EF6">
        <w:t xml:space="preserve">. Idée intégrée dans le package R </w:t>
      </w:r>
      <w:hyperlink r:id="rId12" w:history="1">
        <w:r w:rsidR="00951EF6" w:rsidRPr="00B334AF">
          <w:rPr>
            <w:rStyle w:val="Lienhypertexte"/>
            <w:i/>
            <w:iCs/>
          </w:rPr>
          <w:t>overlapping</w:t>
        </w:r>
      </w:hyperlink>
    </w:p>
    <w:p w14:paraId="78ABA770" w14:textId="24F65CE1" w:rsidR="00FB4BD8" w:rsidRDefault="00FB4BD8" w:rsidP="00B334AF">
      <w:r>
        <w:t xml:space="preserve">Personnellement, quand on est capable de la calculer de façon relativement précise, je la trouve plus intéressante pour corriger le Rand index, puisqu’elle est </w:t>
      </w:r>
      <w:r w:rsidR="00173AC6">
        <w:t>facilement</w:t>
      </w:r>
      <w:r>
        <w:t xml:space="preserve"> interprétable (probabilité globale de mal classer un cluster, même en connaissant</w:t>
      </w:r>
      <w:r w:rsidR="00173AC6">
        <w:t xml:space="preserve"> exactement</w:t>
      </w:r>
      <w:r>
        <w:t xml:space="preserve"> </w:t>
      </w:r>
      <w:r w:rsidR="00173AC6">
        <w:t>les paramètres du modèle -&gt; par conséquent, en supposant que la distribution est effectivement décrite par ce modèle paramétrique, on ne peut espérer faire mieux en terme de performance), et spécifique des caractéristiques de la distribution étudiée</w:t>
      </w:r>
      <w:r w:rsidR="005B4E95">
        <w:t>.</w:t>
      </w:r>
    </w:p>
    <w:p w14:paraId="37BA4B78" w14:textId="4449291B" w:rsidR="005B4E95" w:rsidRDefault="005B4E95" w:rsidP="007702D2">
      <w:r>
        <w:t>A savoir aussi qu’il n’existe pas de formule exacte du calcul de cette métrique pour des distributions gaussiennes multivariées, sauf si la structure de covariance est la même pour toutes les composantes.</w:t>
      </w:r>
      <w:r w:rsidR="00300FC4">
        <w:t xml:space="preserve"> </w:t>
      </w:r>
      <w:hyperlink r:id="rId13" w:history="1">
        <w:r w:rsidR="00300FC4" w:rsidRPr="00AF3513">
          <w:rPr>
            <w:rStyle w:val="Lienhypertexte"/>
          </w:rPr>
          <w:t>Adrian Raftery</w:t>
        </w:r>
      </w:hyperlink>
      <w:r w:rsidR="00300FC4">
        <w:t xml:space="preserve"> s’y est déjà cassé les dents</w:t>
      </w:r>
      <w:r w:rsidR="00AF3513">
        <w:t xml:space="preserve"> (présentation au séminaire de stats du MAP5)</w:t>
      </w:r>
      <w:r w:rsidR="00300FC4">
        <w:t>, donc je reconnais n’avoir même pas essayé. L</w:t>
      </w:r>
      <w:r w:rsidR="00300FC4" w:rsidRPr="00300FC4">
        <w:t xml:space="preserve">e problème principal </w:t>
      </w:r>
      <w:r w:rsidR="009F23C3">
        <w:t>réside dans le fait</w:t>
      </w:r>
      <w:r w:rsidR="00300FC4" w:rsidRPr="00300FC4">
        <w:t xml:space="preserve"> que le calcul exact de l’overlap </w:t>
      </w:r>
      <w:r w:rsidR="009F23C3">
        <w:t>implique</w:t>
      </w:r>
      <w:r w:rsidR="00300FC4" w:rsidRPr="00300FC4">
        <w:t xml:space="preserve"> la résolution d’équations de degré polynomial évoluant quadratiquement avec le nombre de dimensions</w:t>
      </w:r>
      <w:r w:rsidR="009F23C3">
        <w:t xml:space="preserve">. </w:t>
      </w:r>
      <w:r>
        <w:t>En univarié, j’ai développé une formule exacte générale pour deux composantes uniquement, qui serait à généraliser</w:t>
      </w:r>
      <w:r w:rsidR="00300FC4">
        <w:t xml:space="preserve">. </w:t>
      </w:r>
    </w:p>
    <w:p w14:paraId="42877B66" w14:textId="69B6868C" w:rsidR="00AF0974" w:rsidRDefault="00FE7888" w:rsidP="00E63580">
      <w:pPr>
        <w:pStyle w:val="Titre2"/>
      </w:pPr>
      <w:r>
        <w:t>Suggestions d’a</w:t>
      </w:r>
      <w:r w:rsidR="00AF0974">
        <w:t xml:space="preserve">mélioration du package RGMMBench (ou plus probablement </w:t>
      </w:r>
      <w:r w:rsidR="00E63580">
        <w:t>intégration, sous la forme d’une pull request avec le package mclust d’Adrian Raftery)</w:t>
      </w:r>
    </w:p>
    <w:p w14:paraId="3178E6A2" w14:textId="77777777" w:rsidR="00E63580" w:rsidRDefault="00E63580" w:rsidP="00E63580"/>
    <w:p w14:paraId="2BBA6086" w14:textId="13B7B265" w:rsidR="00E63580" w:rsidRPr="00E63580" w:rsidRDefault="00E63580" w:rsidP="00116D7B">
      <w:pPr>
        <w:pStyle w:val="Paragraphedeliste"/>
        <w:numPr>
          <w:ilvl w:val="0"/>
          <w:numId w:val="6"/>
        </w:numPr>
      </w:pPr>
      <w:r>
        <w:t xml:space="preserve">Arbre de décision </w:t>
      </w:r>
      <w:r w:rsidR="00FE7D53">
        <w:t xml:space="preserve">sur le choix de la meilleure paire méthode d’initialisation </w:t>
      </w:r>
      <w:r w:rsidR="009F1D24">
        <w:t>–</w:t>
      </w:r>
      <w:r w:rsidR="00FE7D53">
        <w:t xml:space="preserve"> </w:t>
      </w:r>
      <w:r w:rsidR="009F1D24">
        <w:t xml:space="preserve">package R (ou plus précisément des </w:t>
      </w:r>
      <w:r w:rsidR="00E46DFB">
        <w:t>détails de calcul algorithmiques</w:t>
      </w:r>
      <w:r w:rsidR="009F1D24">
        <w:t>, vu qu’ils différent principalement du fait du</w:t>
      </w:r>
      <w:r w:rsidR="00E46DFB">
        <w:t xml:space="preserve"> choix du</w:t>
      </w:r>
      <w:r w:rsidR="009F1D24">
        <w:t xml:space="preserve"> critère d’arrêt</w:t>
      </w:r>
      <w:r w:rsidR="00065FF4">
        <w:t xml:space="preserve"> (comparaison relative ou absolue, des paramètres, de la log-vraisemblance, voire peut-être plus intéressant encore car insensible à la dimension des paramètres, le critère RDM évoqué plus loin)</w:t>
      </w:r>
      <w:r w:rsidR="00E46DFB">
        <w:t xml:space="preserve"> et de la gestion du « numerical underflow »</w:t>
      </w:r>
      <w:r w:rsidR="009F1D24">
        <w:t xml:space="preserve">) </w:t>
      </w:r>
      <w:r>
        <w:t>à intégrer automatiquement</w:t>
      </w:r>
      <w:r w:rsidR="00B93BA0">
        <w:t>. Limitations actuelles : pour l’instant, la notion de clusters bien séparés ou relativement équilibrés</w:t>
      </w:r>
      <w:r w:rsidR="003174B7">
        <w:t xml:space="preserve"> n’est pas définie globalement, mais laissée au libre arbitre de l’utilisateur</w:t>
      </w:r>
      <w:r w:rsidR="007925C4">
        <w:t xml:space="preserve"> -&gt; il faudrait donc une vraie (ou une combinaison de métriques), permettant effectivement d’évaluer sur des critères concrets la performance de la paire méthode d’initialisation -algo de partition</w:t>
      </w:r>
      <w:r w:rsidR="00F30218">
        <w:t xml:space="preserve"> (par exemple, ICL, BIC, AIC ou même pourquoi pas MARI, qui suppose toutefois d’avoir </w:t>
      </w:r>
      <w:r w:rsidR="006260AF">
        <w:t>à disposition la réalité)</w:t>
      </w:r>
      <w:r w:rsidR="007926A4">
        <w:t xml:space="preserve">. </w:t>
      </w:r>
    </w:p>
    <w:p w14:paraId="5B2E3D5A" w14:textId="66AD6E1D" w:rsidR="00DE6CEF" w:rsidRPr="007702D2" w:rsidRDefault="00116D7B" w:rsidP="00473755">
      <w:pPr>
        <w:pStyle w:val="Paragraphedeliste"/>
        <w:numPr>
          <w:ilvl w:val="0"/>
          <w:numId w:val="6"/>
        </w:numPr>
      </w:pPr>
      <w:r>
        <w:t>Décisions à confirmer dans un contexte de vraie grande dimension (et où il faudrait intégrer en plus le choix de la paramétrisation du modèle et d’une éventuelle projection</w:t>
      </w:r>
      <w:r w:rsidR="00BD50B3">
        <w:t xml:space="preserve"> en plus petite dimension, type analyse factorielle </w:t>
      </w:r>
      <w:r w:rsidR="00A7112F">
        <w:t>-&gt; à ce propos, tu avais évoqué, lors de la séance de questions, des méthodes sparse</w:t>
      </w:r>
      <w:r w:rsidR="00ED4BD1">
        <w:t xml:space="preserve"> pour ce faire, aurais-tu des références pour creuser ce sujet ?</w:t>
      </w:r>
    </w:p>
    <w:p w14:paraId="16DB202F" w14:textId="77777777" w:rsidR="009854E5" w:rsidRDefault="009854E5" w:rsidP="009854E5">
      <w:pPr>
        <w:pStyle w:val="PrformatHTML"/>
        <w:ind w:left="720"/>
        <w:rPr>
          <w:rFonts w:ascii="Segoe UI" w:hAnsi="Segoe UI" w:cs="Segoe UI"/>
          <w:color w:val="030303"/>
          <w:shd w:val="clear" w:color="auto" w:fill="FFFFFF"/>
        </w:rPr>
      </w:pPr>
    </w:p>
    <w:p w14:paraId="38F0F37F" w14:textId="77777777" w:rsidR="00F31720" w:rsidRDefault="00F31720" w:rsidP="009854E5">
      <w:pPr>
        <w:pStyle w:val="PrformatHTML"/>
        <w:ind w:left="720"/>
        <w:rPr>
          <w:rFonts w:ascii="Segoe UI" w:hAnsi="Segoe UI" w:cs="Segoe UI"/>
          <w:color w:val="030303"/>
          <w:shd w:val="clear" w:color="auto" w:fill="FFFFFF"/>
        </w:rPr>
      </w:pPr>
    </w:p>
    <w:p w14:paraId="13B4F3AC" w14:textId="77777777" w:rsidR="00F31720" w:rsidRPr="009854E5" w:rsidRDefault="00F31720" w:rsidP="009854E5">
      <w:pPr>
        <w:pStyle w:val="PrformatHTML"/>
        <w:ind w:left="720"/>
        <w:rPr>
          <w:rFonts w:ascii="Segoe UI" w:hAnsi="Segoe UI" w:cs="Segoe UI"/>
          <w:color w:val="030303"/>
          <w:shd w:val="clear" w:color="auto" w:fill="FFFFFF"/>
        </w:rPr>
      </w:pPr>
    </w:p>
    <w:p w14:paraId="20CA634E" w14:textId="31802D9B" w:rsidR="004C1C3E" w:rsidRDefault="00D10324" w:rsidP="00D10324">
      <w:pPr>
        <w:pStyle w:val="Titre1"/>
      </w:pPr>
      <w:r>
        <w:t>Méthodes de déconvolution</w:t>
      </w:r>
    </w:p>
    <w:p w14:paraId="3A0CF88A" w14:textId="2BE51B5C" w:rsidR="00D10324" w:rsidRDefault="00D10324" w:rsidP="00D10324">
      <w:pPr>
        <w:pStyle w:val="Titre2"/>
      </w:pPr>
      <w:r>
        <w:t>Revue des méthodes</w:t>
      </w:r>
      <w:r w:rsidR="00E70F0F">
        <w:t xml:space="preserve"> existantes</w:t>
      </w:r>
    </w:p>
    <w:p w14:paraId="3B0254B7" w14:textId="77777777" w:rsidR="00D10324" w:rsidRDefault="00D10324" w:rsidP="00D10324"/>
    <w:p w14:paraId="6B79D470" w14:textId="77777777" w:rsidR="00297241" w:rsidRDefault="00B656D0" w:rsidP="00B656D0">
      <w:pPr>
        <w:pStyle w:val="Paragraphedeliste"/>
        <w:numPr>
          <w:ilvl w:val="0"/>
          <w:numId w:val="7"/>
        </w:numPr>
      </w:pPr>
      <w:r>
        <w:t xml:space="preserve">Tout d’abord, pour la revue des méthodes de déconvolution non supervisées (estimation profils </w:t>
      </w:r>
      <w:r w:rsidR="00C53EB6">
        <w:t xml:space="preserve">cellulaires </w:t>
      </w:r>
      <w:r>
        <w:t>purifiés</w:t>
      </w:r>
      <w:r w:rsidR="00C53EB6">
        <w:t xml:space="preserve"> et proportion, de façon simultanée, et sans a priori sur leur distribution), tu évoques le terme de </w:t>
      </w:r>
      <w:r w:rsidR="00C53EB6">
        <w:rPr>
          <w:i/>
          <w:iCs/>
        </w:rPr>
        <w:t>dictionnary learning</w:t>
      </w:r>
      <w:r w:rsidR="00C53EB6">
        <w:t>, avec contraintes. On retrouve notamment dans cette famille la méthode NNMF, qui contraint les profils purifiés et les proportions cellulaires à être non négatifs (mais non à respecter la contrainte du simplex unitaire pour les proportions</w:t>
      </w:r>
      <w:r w:rsidR="00297241">
        <w:t> !!</w:t>
      </w:r>
      <w:r w:rsidR="00C53EB6">
        <w:t>).</w:t>
      </w:r>
    </w:p>
    <w:p w14:paraId="046DB344" w14:textId="6088BF18" w:rsidR="00B656D0" w:rsidRDefault="00297241" w:rsidP="00297241">
      <w:pPr>
        <w:pStyle w:val="Paragraphedeliste"/>
        <w:numPr>
          <w:ilvl w:val="1"/>
          <w:numId w:val="7"/>
        </w:numPr>
      </w:pPr>
      <w:r w:rsidRPr="00070C8C">
        <w:lastRenderedPageBreak/>
        <w:t xml:space="preserve">Or, de façon intéressante, </w:t>
      </w:r>
      <w:r w:rsidR="00070C8C" w:rsidRPr="00070C8C">
        <w:t>cette nomenclature n’a pas encore été (up to my current state-of-the-art research) évoquée</w:t>
      </w:r>
      <w:r w:rsidR="00C53EB6" w:rsidRPr="00070C8C">
        <w:t xml:space="preserve"> </w:t>
      </w:r>
      <w:r w:rsidR="00070C8C" w:rsidRPr="00070C8C">
        <w:t xml:space="preserve">dans la littérature. </w:t>
      </w:r>
      <w:r w:rsidR="00070C8C">
        <w:t xml:space="preserve">De plus, la première évocation de cette méthode renvoie à l’article Wiki suivant : </w:t>
      </w:r>
      <w:hyperlink r:id="rId14" w:history="1">
        <w:r w:rsidR="00070C8C" w:rsidRPr="00070C8C">
          <w:rPr>
            <w:rStyle w:val="Lienhypertexte"/>
          </w:rPr>
          <w:t>Sparse dictionary learning</w:t>
        </w:r>
      </w:hyperlink>
      <w:r w:rsidR="00070C8C">
        <w:t>, avec l’idée</w:t>
      </w:r>
      <w:r w:rsidR="00D47300">
        <w:t xml:space="preserve">, très intéressante, de pénaliser les différentes composantes cellulaires, évitant, je suppose, </w:t>
      </w:r>
      <w:r w:rsidR="00633997">
        <w:t>de modéliser du bruit inintéressant (overfitting).</w:t>
      </w:r>
    </w:p>
    <w:p w14:paraId="1584BBEC" w14:textId="30BDF370" w:rsidR="00996323" w:rsidRDefault="00996323" w:rsidP="00996323">
      <w:pPr>
        <w:pStyle w:val="Paragraphedeliste"/>
        <w:numPr>
          <w:ilvl w:val="0"/>
          <w:numId w:val="7"/>
        </w:numPr>
      </w:pPr>
      <w:r>
        <w:t>L’idée du benchmark est intéressante, mais vraiment longue à mettre en place, et devrait se distinguer des nombreux papiers de benchmark existants</w:t>
      </w:r>
      <w:r w:rsidR="003C6C5A">
        <w:t xml:space="preserve">, incluant </w:t>
      </w:r>
      <w:r w:rsidR="00A439B5">
        <w:t>celui de Zlatko :</w:t>
      </w:r>
    </w:p>
    <w:p w14:paraId="1E230A86" w14:textId="56BBD169" w:rsidR="00DE6CEF" w:rsidRDefault="00917E16" w:rsidP="00DE6CEF">
      <w:pPr>
        <w:pStyle w:val="Paragraphedeliste"/>
        <w:numPr>
          <w:ilvl w:val="1"/>
          <w:numId w:val="7"/>
        </w:numPr>
        <w:rPr>
          <w:lang w:val="en-US"/>
        </w:rPr>
      </w:pPr>
      <w:r w:rsidRPr="00917E16">
        <w:rPr>
          <w:lang w:val="en-US"/>
        </w:rPr>
        <w:t>Robust and accurate estimation of cellular fraction from tissue omics data via ensemble deconvolution</w:t>
      </w:r>
    </w:p>
    <w:p w14:paraId="6431D252" w14:textId="653E0A84" w:rsidR="00917E16" w:rsidRDefault="00811A7D" w:rsidP="00DE6CEF">
      <w:pPr>
        <w:pStyle w:val="Paragraphedeliste"/>
        <w:numPr>
          <w:ilvl w:val="1"/>
          <w:numId w:val="7"/>
        </w:numPr>
        <w:rPr>
          <w:lang w:val="en-US"/>
        </w:rPr>
      </w:pPr>
      <w:r w:rsidRPr="00811A7D">
        <w:rPr>
          <w:lang w:val="en-US"/>
        </w:rPr>
        <w:t>Comprehensive evaluation of transcriptome-based cell-type quantification methods for immuno-oncology</w:t>
      </w:r>
    </w:p>
    <w:p w14:paraId="32D1DD89" w14:textId="77777777" w:rsidR="00D450E0" w:rsidRDefault="00D450E0" w:rsidP="00DE6CEF">
      <w:pPr>
        <w:pStyle w:val="Paragraphedeliste"/>
        <w:numPr>
          <w:ilvl w:val="1"/>
          <w:numId w:val="7"/>
        </w:numPr>
      </w:pPr>
      <w:r w:rsidRPr="00D450E0">
        <w:t>A benchmark for RNA-seq deconvolution analysis under dynamic testing environments</w:t>
      </w:r>
    </w:p>
    <w:p w14:paraId="0FBB8C25" w14:textId="2BE6081C" w:rsidR="00811A7D" w:rsidRPr="002E51FE" w:rsidRDefault="002E51FE" w:rsidP="00DE6CEF">
      <w:pPr>
        <w:pStyle w:val="Paragraphedeliste"/>
        <w:numPr>
          <w:ilvl w:val="1"/>
          <w:numId w:val="7"/>
        </w:numPr>
      </w:pPr>
      <w:r w:rsidRPr="002E51FE">
        <w:t>Estimating cell type-specific differential expression using deconvolution</w:t>
      </w:r>
      <w:r w:rsidRPr="002E51FE">
        <w:t xml:space="preserve"> (évaluant plutôt les performances des</w:t>
      </w:r>
      <w:r>
        <w:t xml:space="preserve"> méthodes numériques reconstituant les profils transcript</w:t>
      </w:r>
      <w:r w:rsidR="00365484">
        <w:t>omiques purifiés plutôt que les proportions cellulaires)</w:t>
      </w:r>
    </w:p>
    <w:p w14:paraId="69BFEF56" w14:textId="0B922530" w:rsidR="00BC439D" w:rsidRDefault="00A439B5" w:rsidP="00911DC9">
      <w:pPr>
        <w:pStyle w:val="Paragraphedeliste"/>
        <w:numPr>
          <w:ilvl w:val="0"/>
          <w:numId w:val="7"/>
        </w:numPr>
      </w:pPr>
      <w:r>
        <w:t>Si l</w:t>
      </w:r>
      <w:r w:rsidR="0034330F">
        <w:t>es objectifs biologiques sont souvent mélangés avec les familles de méthodes statistiques, c’est qu’ils sont souvent très imbriqués. Par exemple, les méthodes</w:t>
      </w:r>
      <w:r w:rsidR="00D44964">
        <w:t xml:space="preserve"> de régression linéaire robuste ou les modèles SVR ont été développés pour répondre à la problématique d’échantillons bruités, présentant pour certains gènes des valeurs aberrantes ou trop éloignées de leur référence.</w:t>
      </w:r>
    </w:p>
    <w:p w14:paraId="644FB8FC" w14:textId="4A688017" w:rsidR="00D10324" w:rsidRDefault="004113EF" w:rsidP="004113EF">
      <w:pPr>
        <w:pStyle w:val="Titre2"/>
        <w:rPr>
          <w:rFonts w:eastAsia="LibertinusSerif-Regular"/>
        </w:rPr>
      </w:pPr>
      <w:r>
        <w:rPr>
          <w:rFonts w:eastAsia="LibertinusSerif-Regular"/>
        </w:rPr>
        <w:t xml:space="preserve">Algorithme de </w:t>
      </w:r>
      <w:r>
        <w:rPr>
          <w:rFonts w:eastAsia="LibertinusSerif-Regular"/>
        </w:rPr>
        <w:t>Levenberg-Marquardt</w:t>
      </w:r>
    </w:p>
    <w:p w14:paraId="7E542104" w14:textId="5F45B849" w:rsidR="004113EF" w:rsidRDefault="00931CB5" w:rsidP="004113EF">
      <w:r>
        <w:t xml:space="preserve">La version </w:t>
      </w:r>
      <w:r w:rsidR="00DB7A51">
        <w:t xml:space="preserve">utilisée dans DeCovarT (même si j’ai testé d’autres algos) provient du package </w:t>
      </w:r>
      <w:hyperlink r:id="rId15" w:history="1">
        <w:r w:rsidR="00237B42" w:rsidRPr="00237B42">
          <w:rPr>
            <w:rStyle w:val="Lienhypertexte"/>
          </w:rPr>
          <w:t>marqLevAlg</w:t>
        </w:r>
      </w:hyperlink>
      <w:r w:rsidR="00D50417">
        <w:t xml:space="preserve">, maintenu entre autres par </w:t>
      </w:r>
      <w:r w:rsidR="00D50417" w:rsidRPr="00D50417">
        <w:t>Boris Hejblum</w:t>
      </w:r>
      <w:r w:rsidR="00D50417" w:rsidRPr="00D50417">
        <w:t>.</w:t>
      </w:r>
      <w:r w:rsidR="00D50417">
        <w:rPr>
          <w:color w:val="000000"/>
          <w:sz w:val="27"/>
          <w:szCs w:val="27"/>
          <w:shd w:val="clear" w:color="auto" w:fill="FFFFFF"/>
        </w:rPr>
        <w:t xml:space="preserve"> </w:t>
      </w:r>
      <w:r w:rsidR="00D50417" w:rsidRPr="000D7888">
        <w:t xml:space="preserve">Elle se distingue </w:t>
      </w:r>
      <w:r w:rsidR="000D7888" w:rsidRPr="000D7888">
        <w:t>de l’algo existant par deux caractéristiques principales :</w:t>
      </w:r>
    </w:p>
    <w:p w14:paraId="65060A25" w14:textId="65FAE84A" w:rsidR="00FA69FF" w:rsidRDefault="00F55D5A" w:rsidP="00CB7BC4">
      <w:pPr>
        <w:pStyle w:val="Paragraphedeliste"/>
        <w:numPr>
          <w:ilvl w:val="0"/>
          <w:numId w:val="9"/>
        </w:numPr>
        <w:rPr>
          <w:b/>
          <w:bCs/>
          <w:color w:val="FF0000"/>
        </w:rPr>
      </w:pPr>
      <w:r>
        <w:t>L’utilisation d’un nouveau critère d’arrêt, plus stringent, car supposé distinguer les points selles d’extremums</w:t>
      </w:r>
      <w:r w:rsidR="00662242">
        <w:t xml:space="preserve"> -&gt; il s’agit du critère RDM (relative distance to maximum</w:t>
      </w:r>
      <w:r w:rsidR="00FA69FF">
        <w:t xml:space="preserve">) qui présente </w:t>
      </w:r>
      <w:r w:rsidR="00277211">
        <w:t xml:space="preserve">de plus l’avantage d’être invariant (au moins asymptotiquement) à l’ordre de grandeur des paramètres estimés près du maximum, contrairement aux deux autres critères évaluant </w:t>
      </w:r>
      <w:r w:rsidR="00FA69FF">
        <w:t xml:space="preserve">la stabilité des paramètres </w:t>
      </w:r>
      <w:r w:rsidR="00C63D4E">
        <w:t xml:space="preserve">ou la log-vraisemblance (cette dernière ne permettant pas non plus de distinguer un plateau, ainsi une vitesse plus lente de convergence peut simplement être le reflet d’un algorithme </w:t>
      </w:r>
      <w:r w:rsidR="00FA69FF">
        <w:t xml:space="preserve">bloqué </w:t>
      </w:r>
      <w:r w:rsidR="00C63D4E">
        <w:t>aux bords)</w:t>
      </w:r>
      <w:r w:rsidR="00FA69FF">
        <w:t>.</w:t>
      </w:r>
      <w:r w:rsidR="005B1D10">
        <w:t xml:space="preserve"> </w:t>
      </w:r>
      <w:r w:rsidR="005B1D10" w:rsidRPr="005B1D10">
        <w:rPr>
          <w:b/>
          <w:bCs/>
          <w:color w:val="FF0000"/>
        </w:rPr>
        <w:t>Ce critère présuppose toutefois une hypothèse forte d’indépendance des paramètres estimés</w:t>
      </w:r>
      <w:r w:rsidR="00514135">
        <w:rPr>
          <w:b/>
          <w:bCs/>
          <w:color w:val="FF0000"/>
        </w:rPr>
        <w:t xml:space="preserve"> (ou tout du moins que ces derniers soient non contraints)</w:t>
      </w:r>
      <w:r w:rsidR="00DC48D3">
        <w:rPr>
          <w:b/>
          <w:bCs/>
          <w:color w:val="FF0000"/>
        </w:rPr>
        <w:t xml:space="preserve">, voire le détail de son calcul et intérêt dans </w:t>
      </w:r>
      <w:hyperlink r:id="rId16" w:history="1">
        <w:r w:rsidR="007472F2" w:rsidRPr="006750A9">
          <w:rPr>
            <w:rStyle w:val="Lienhypertexte"/>
            <w:b/>
            <w:bCs/>
          </w:rPr>
          <w:t>A NEWTON-LIKE ALGORITHM FOR LIKELIHOOD MAXIMIZATION: THE ROBUST-VARIANCE SCORING ALGORITHM</w:t>
        </w:r>
        <w:r w:rsidR="005B1D10" w:rsidRPr="006750A9">
          <w:rPr>
            <w:rStyle w:val="Lienhypertexte"/>
            <w:b/>
            <w:bCs/>
          </w:rPr>
          <w:t> </w:t>
        </w:r>
      </w:hyperlink>
      <w:r w:rsidR="005B1D10">
        <w:rPr>
          <w:b/>
          <w:bCs/>
          <w:color w:val="FF0000"/>
        </w:rPr>
        <w:t>!!</w:t>
      </w:r>
    </w:p>
    <w:p w14:paraId="0CF2723E" w14:textId="5D30E2A6" w:rsidR="00C67C1A" w:rsidRPr="005B1D10" w:rsidRDefault="00C67C1A" w:rsidP="00C67C1A">
      <w:pPr>
        <w:pStyle w:val="Paragraphedeliste"/>
        <w:jc w:val="center"/>
        <w:rPr>
          <w:b/>
          <w:bCs/>
          <w:color w:val="FF0000"/>
        </w:rPr>
      </w:pPr>
      <w:r w:rsidRPr="00C67C1A">
        <w:rPr>
          <w:b/>
          <w:bCs/>
          <w:color w:val="FF0000"/>
        </w:rPr>
        <w:drawing>
          <wp:inline distT="0" distB="0" distL="0" distR="0" wp14:anchorId="3773E5C1" wp14:editId="4B7FB4D5">
            <wp:extent cx="3444538" cy="624894"/>
            <wp:effectExtent l="0" t="0" r="3810" b="3810"/>
            <wp:docPr id="5" name="Image 4" descr="Une image contenant texte, Police, ligne, écriture manuscrite&#10;&#10;Description générée automatiquement">
              <a:extLst xmlns:a="http://schemas.openxmlformats.org/drawingml/2006/main">
                <a:ext uri="{FF2B5EF4-FFF2-40B4-BE49-F238E27FC236}">
                  <a16:creationId xmlns:a16="http://schemas.microsoft.com/office/drawing/2014/main" id="{BD64FA6F-A8C2-D942-ECB5-FB85847C9F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descr="Une image contenant texte, Police, ligne, écriture manuscrite&#10;&#10;Description générée automatiquement">
                      <a:extLst>
                        <a:ext uri="{FF2B5EF4-FFF2-40B4-BE49-F238E27FC236}">
                          <a16:creationId xmlns:a16="http://schemas.microsoft.com/office/drawing/2014/main" id="{BD64FA6F-A8C2-D942-ECB5-FB85847C9F54}"/>
                        </a:ext>
                      </a:extLst>
                    </pic:cNvPr>
                    <pic:cNvPicPr>
                      <a:picLocks noChangeAspect="1"/>
                    </pic:cNvPicPr>
                  </pic:nvPicPr>
                  <pic:blipFill>
                    <a:blip r:embed="rId17"/>
                    <a:stretch>
                      <a:fillRect/>
                    </a:stretch>
                  </pic:blipFill>
                  <pic:spPr>
                    <a:xfrm>
                      <a:off x="0" y="0"/>
                      <a:ext cx="3444538" cy="624894"/>
                    </a:xfrm>
                    <a:prstGeom prst="rect">
                      <a:avLst/>
                    </a:prstGeom>
                  </pic:spPr>
                </pic:pic>
              </a:graphicData>
            </a:graphic>
          </wp:inline>
        </w:drawing>
      </w:r>
    </w:p>
    <w:p w14:paraId="66E23C0E" w14:textId="45F52364" w:rsidR="00732465" w:rsidRPr="007838D6" w:rsidRDefault="008164F9" w:rsidP="004D70B6">
      <w:pPr>
        <w:pStyle w:val="Paragraphedeliste"/>
        <w:numPr>
          <w:ilvl w:val="0"/>
          <w:numId w:val="9"/>
        </w:numPr>
        <w:rPr>
          <w:lang w:val="en-US"/>
        </w:rPr>
      </w:pPr>
      <w:r>
        <w:t>L’utilisation de nouveaux</w:t>
      </w:r>
      <w:r>
        <w:t xml:space="preserve"> hyperparamètres </w:t>
      </w:r>
      <w:r>
        <w:t>permettant un</w:t>
      </w:r>
      <w:r>
        <w:t xml:space="preserve"> contrôle</w:t>
      </w:r>
      <w:r>
        <w:t xml:space="preserve"> plus fin de l’influence</w:t>
      </w:r>
      <w:r>
        <w:t xml:space="preserve"> de la matrice hessienne </w:t>
      </w:r>
      <w:r>
        <w:t>dans la descente</w:t>
      </w:r>
      <w:r w:rsidR="0012330E">
        <w:t xml:space="preserve"> (</w:t>
      </w:r>
      <w:r w:rsidR="0012330E" w:rsidRPr="00B54C7D">
        <w:rPr>
          <w:i/>
          <w:iCs/>
        </w:rPr>
        <w:t>NB</w:t>
      </w:r>
      <w:r w:rsidR="00FE2890" w:rsidRPr="00B54C7D">
        <w:rPr>
          <w:i/>
          <w:iCs/>
        </w:rPr>
        <w:t> : on devrait plutôt d’ailleurs parler dans notre cas de montée, mais en prenant le négatif de la log-li</w:t>
      </w:r>
      <w:r w:rsidR="00B54C7D" w:rsidRPr="00B54C7D">
        <w:rPr>
          <w:i/>
          <w:iCs/>
        </w:rPr>
        <w:t>ke</w:t>
      </w:r>
      <w:r w:rsidR="00FE2890" w:rsidRPr="00B54C7D">
        <w:rPr>
          <w:i/>
          <w:iCs/>
        </w:rPr>
        <w:t>lihood</w:t>
      </w:r>
      <w:r w:rsidR="00B54C7D" w:rsidRPr="00B54C7D">
        <w:rPr>
          <w:i/>
          <w:iCs/>
        </w:rPr>
        <w:t>, on retombe sur les bons termes)</w:t>
      </w:r>
      <w:r w:rsidR="00C67C1A" w:rsidRPr="00B54C7D">
        <w:rPr>
          <w:i/>
          <w:iCs/>
        </w:rPr>
        <w:t>.</w:t>
      </w:r>
      <w:r w:rsidR="00C67C1A">
        <w:t xml:space="preserve"> Ces derniers sont partiellement automatiquement supervisés, afin d</w:t>
      </w:r>
      <w:r w:rsidR="009C312C">
        <w:t>e s’</w:t>
      </w:r>
      <w:r w:rsidR="00C67C1A">
        <w:t>assurer d’une part que l</w:t>
      </w:r>
      <w:r>
        <w:t>a hessienne est négativement définie à chaque itération</w:t>
      </w:r>
      <w:r w:rsidR="00C67C1A">
        <w:t xml:space="preserve"> (</w:t>
      </w:r>
      <w:r w:rsidR="009C312C">
        <w:t xml:space="preserve">on s’assure ainsi de la concavité, au moins locale, de notre fonction), et d’autre part </w:t>
      </w:r>
      <w:r w:rsidR="008C3AFF">
        <w:t xml:space="preserve">de la vitesse de convergence -&gt; </w:t>
      </w:r>
      <w:r>
        <w:t xml:space="preserve">Si la </w:t>
      </w:r>
      <w:r w:rsidR="008C3AFF">
        <w:t>vitesse de convergence</w:t>
      </w:r>
      <w:r>
        <w:t xml:space="preserve"> est trop rapide, </w:t>
      </w:r>
      <w:r w:rsidR="008C3AFF">
        <w:t xml:space="preserve">avec un risque de louper l’extremum, </w:t>
      </w:r>
      <w:r>
        <w:t>une valeur plus petite peut être utilisée, rapprochant l'algorithme d</w:t>
      </w:r>
      <w:r w:rsidR="00741EEF">
        <w:t>’une méthode de descente de gradient</w:t>
      </w:r>
      <w:r>
        <w:t xml:space="preserve">. </w:t>
      </w:r>
      <w:r w:rsidR="00741EEF">
        <w:t xml:space="preserve">En revanche, si la </w:t>
      </w:r>
      <w:r>
        <w:t xml:space="preserve">convergence </w:t>
      </w:r>
      <w:r w:rsidR="00741EEF">
        <w:t xml:space="preserve">est trop </w:t>
      </w:r>
      <w:r>
        <w:t>lent</w:t>
      </w:r>
      <w:r w:rsidR="00741EEF">
        <w:t xml:space="preserve">e, </w:t>
      </w:r>
      <w:r w:rsidR="00F31720">
        <w:t xml:space="preserve">par exemple parce qu’on est trop éloigné de l’extremum au point de départ, </w:t>
      </w:r>
      <w:r w:rsidR="00741EEF">
        <w:t>on peut l’</w:t>
      </w:r>
      <w:r>
        <w:t>accélér</w:t>
      </w:r>
      <w:r w:rsidR="00741EEF">
        <w:t>er</w:t>
      </w:r>
      <w:r w:rsidR="00F31720">
        <w:t xml:space="preserve">, </w:t>
      </w:r>
      <w:r>
        <w:t xml:space="preserve">en accordant plus </w:t>
      </w:r>
      <w:r w:rsidR="00F31720">
        <w:t>d’importance à la Hessienne (les méthodes d’ordre 2 convergeant généralement plus rapidement).</w:t>
      </w:r>
      <w:r w:rsidR="00852348">
        <w:t xml:space="preserve"> </w:t>
      </w:r>
      <w:r w:rsidR="00852348" w:rsidRPr="007838D6">
        <w:rPr>
          <w:lang w:val="en-US"/>
        </w:rPr>
        <w:t xml:space="preserve">Voire aussi </w:t>
      </w:r>
      <w:hyperlink r:id="rId18" w:history="1">
        <w:r w:rsidR="007838D6" w:rsidRPr="007838D6">
          <w:rPr>
            <w:rStyle w:val="Lienhypertexte"/>
            <w:lang w:val="en-US"/>
          </w:rPr>
          <w:t>Robust and Efficient Optimization Using a Marquardt-Levenberg Algorithm with R Package marqLevAlg</w:t>
        </w:r>
      </w:hyperlink>
      <w:r w:rsidR="007838D6">
        <w:rPr>
          <w:lang w:val="en-US"/>
        </w:rPr>
        <w:t xml:space="preserve"> et </w:t>
      </w:r>
      <w:hyperlink r:id="rId19" w:history="1">
        <w:r w:rsidR="001F6619" w:rsidRPr="001F6619">
          <w:rPr>
            <w:rStyle w:val="Lienhypertexte"/>
            <w:lang w:val="en-US"/>
          </w:rPr>
          <w:t>NIMROD: A program for inference via a normal approximation of the posterior in models with random effects based on ordinary differential equations</w:t>
        </w:r>
      </w:hyperlink>
      <w:r w:rsidR="001F6619">
        <w:rPr>
          <w:lang w:val="en-US"/>
        </w:rPr>
        <w:t xml:space="preserve"> sur les particul</w:t>
      </w:r>
      <w:r w:rsidR="00DC48D3">
        <w:rPr>
          <w:lang w:val="en-US"/>
        </w:rPr>
        <w:t xml:space="preserve">arités de l’implémentation </w:t>
      </w:r>
      <w:r w:rsidR="00DC48D3" w:rsidRPr="00DC48D3">
        <w:rPr>
          <w:i/>
          <w:iCs/>
          <w:lang w:val="en-US"/>
        </w:rPr>
        <w:t>marLevAlg</w:t>
      </w:r>
      <w:r w:rsidR="00DC48D3">
        <w:rPr>
          <w:lang w:val="en-US"/>
        </w:rPr>
        <w:t>.</w:t>
      </w:r>
    </w:p>
    <w:p w14:paraId="3A3F9D8F" w14:textId="77777777" w:rsidR="00410BC1" w:rsidRDefault="00A20E26" w:rsidP="004D70B6">
      <w:pPr>
        <w:pStyle w:val="Paragraphedeliste"/>
        <w:numPr>
          <w:ilvl w:val="0"/>
          <w:numId w:val="9"/>
        </w:numPr>
      </w:pPr>
      <w:r w:rsidRPr="007838D6">
        <w:rPr>
          <w:lang w:val="en-US"/>
        </w:rPr>
        <w:t xml:space="preserve"> </w:t>
      </w:r>
      <w:r>
        <w:t>Ressources additionnelles :</w:t>
      </w:r>
    </w:p>
    <w:p w14:paraId="33C0185D" w14:textId="11DBD9CF" w:rsidR="00FA69FF" w:rsidRDefault="00A20E26" w:rsidP="00410BC1">
      <w:pPr>
        <w:pStyle w:val="Paragraphedeliste"/>
        <w:numPr>
          <w:ilvl w:val="1"/>
          <w:numId w:val="9"/>
        </w:numPr>
      </w:pPr>
      <w:r>
        <w:t xml:space="preserve"> </w:t>
      </w:r>
      <w:hyperlink r:id="rId20" w:history="1">
        <w:r w:rsidRPr="00243AA1">
          <w:rPr>
            <w:rStyle w:val="Lienhypertexte"/>
          </w:rPr>
          <w:t>https://agustinus.kristia.de/techblog/2020/11/02/hessian-curvatures/</w:t>
        </w:r>
      </w:hyperlink>
      <w:r w:rsidR="00732465">
        <w:t xml:space="preserve"> (sur les limites d’utiliser la trace de la Hessienne comme proxy du niveau de courbure à l’approche d’un extremum)</w:t>
      </w:r>
    </w:p>
    <w:p w14:paraId="64B63386" w14:textId="77777777" w:rsidR="00410BC1" w:rsidRDefault="00410BC1" w:rsidP="00410BC1">
      <w:pPr>
        <w:pStyle w:val="Paragraphedeliste"/>
        <w:numPr>
          <w:ilvl w:val="1"/>
          <w:numId w:val="9"/>
        </w:numPr>
      </w:pPr>
    </w:p>
    <w:p w14:paraId="12B4C5F5" w14:textId="60A9D3B8" w:rsidR="00514135" w:rsidRDefault="00514135" w:rsidP="00514135">
      <w:pPr>
        <w:jc w:val="center"/>
      </w:pPr>
      <w:r w:rsidRPr="00514135">
        <w:lastRenderedPageBreak/>
        <w:drawing>
          <wp:inline distT="0" distB="0" distL="0" distR="0" wp14:anchorId="6E2C2058" wp14:editId="2DE1BC64">
            <wp:extent cx="4671465" cy="662997"/>
            <wp:effectExtent l="0" t="0" r="0" b="3810"/>
            <wp:docPr id="29367433" name="Image 1" descr="Une image contenant Police, texte, typographie,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433" name="Image 1" descr="Une image contenant Police, texte, typographie, écriture manuscrite&#10;&#10;Description générée automatiquement"/>
                    <pic:cNvPicPr/>
                  </pic:nvPicPr>
                  <pic:blipFill>
                    <a:blip r:embed="rId21"/>
                    <a:stretch>
                      <a:fillRect/>
                    </a:stretch>
                  </pic:blipFill>
                  <pic:spPr>
                    <a:xfrm>
                      <a:off x="0" y="0"/>
                      <a:ext cx="4671465" cy="662997"/>
                    </a:xfrm>
                    <a:prstGeom prst="rect">
                      <a:avLst/>
                    </a:prstGeom>
                  </pic:spPr>
                </pic:pic>
              </a:graphicData>
            </a:graphic>
          </wp:inline>
        </w:drawing>
      </w:r>
    </w:p>
    <w:p w14:paraId="0CCC2155" w14:textId="77777777" w:rsidR="00F31720" w:rsidRDefault="00F31720" w:rsidP="00F31720"/>
    <w:p w14:paraId="24939296" w14:textId="72798E67" w:rsidR="0079268A" w:rsidRDefault="0079268A" w:rsidP="0079268A">
      <w:pPr>
        <w:pStyle w:val="Titre2"/>
      </w:pPr>
      <w:r>
        <w:t>DeCovarT</w:t>
      </w:r>
    </w:p>
    <w:p w14:paraId="5AA1BBF4" w14:textId="77777777" w:rsidR="0079268A" w:rsidRDefault="0079268A" w:rsidP="0079268A"/>
    <w:p w14:paraId="6A0710C1" w14:textId="763182E8" w:rsidR="0079268A" w:rsidRDefault="0079268A" w:rsidP="0079268A">
      <w:r>
        <w:t xml:space="preserve">Comme brièvement évoqué </w:t>
      </w:r>
      <w:r w:rsidR="00763164">
        <w:t>par mail, et s’il n y’a pas de risques de collusion d’intérêt, étant donné que tu étais rapporteur de ma thèse, j’aimerai publier la partie méthodo de DeCovarT dans le journal Computo</w:t>
      </w:r>
      <w:r w:rsidR="00292C25">
        <w:t>. Selon toi (et là encore, s’il n</w:t>
      </w:r>
      <w:r w:rsidR="000E73BB">
        <w:t xml:space="preserve"> </w:t>
      </w:r>
      <w:r w:rsidR="00292C25">
        <w:t>y’a pas de risque de conflits d’intérêt), quels seraient les éléments à intégrer</w:t>
      </w:r>
      <w:r w:rsidR="009F64D8">
        <w:t xml:space="preserve"> en priorité, et ceux optionnels,</w:t>
      </w:r>
      <w:r w:rsidR="00292C25">
        <w:t xml:space="preserve"> pour </w:t>
      </w:r>
      <w:r w:rsidR="0070042B">
        <w:t>r</w:t>
      </w:r>
      <w:r w:rsidR="00292C25">
        <w:t>endre</w:t>
      </w:r>
      <w:r w:rsidR="0070042B">
        <w:t xml:space="preserve"> la version actuelle</w:t>
      </w:r>
      <w:r w:rsidR="00292C25">
        <w:t xml:space="preserve"> « p</w:t>
      </w:r>
      <w:r w:rsidR="0070042B">
        <w:t>ubliable » eu égard aux standards du journal</w:t>
      </w:r>
      <w:r w:rsidR="009F64D8">
        <w:t>, parmi ceux listés ci-dessous</w:t>
      </w:r>
      <w:r w:rsidR="0070042B">
        <w:t> ?</w:t>
      </w:r>
    </w:p>
    <w:p w14:paraId="0B4A3308" w14:textId="5F712245" w:rsidR="0070042B" w:rsidRDefault="0070042B" w:rsidP="0070042B">
      <w:pPr>
        <w:pStyle w:val="Paragraphedeliste"/>
        <w:numPr>
          <w:ilvl w:val="0"/>
          <w:numId w:val="8"/>
        </w:numPr>
      </w:pPr>
      <w:r>
        <w:t>Estimation jointe des ratios cellulaires, et du profil cellulaire spécifique de chaque échantillon (celui-ci me semble obligatoire), via une approche MLE tout d’abord (le modèle serait certainement maximisé via une approche type ECM), puis éventuellement une approche MCMC Bayésienne</w:t>
      </w:r>
      <w:r w:rsidR="00D6797F">
        <w:t xml:space="preserve"> si on intègre une distribution prior pour la </w:t>
      </w:r>
      <w:r w:rsidR="006E437F">
        <w:t>distribution</w:t>
      </w:r>
      <w:r w:rsidR="00D6797F">
        <w:t xml:space="preserve"> des ratios</w:t>
      </w:r>
      <w:r w:rsidR="006E437F">
        <w:t xml:space="preserve"> cellulaires, ainsi que des paramètres de moyenne et covariance individuelle des populations cellulaires</w:t>
      </w:r>
      <w:r w:rsidR="00FF0A91">
        <w:t xml:space="preserve"> -&gt; il y’aura certainement des problèmes d’identifiabilité à résoudre</w:t>
      </w:r>
    </w:p>
    <w:p w14:paraId="041C89FB" w14:textId="08195686" w:rsidR="006E437F" w:rsidRDefault="00742EE0" w:rsidP="0070042B">
      <w:pPr>
        <w:pStyle w:val="Paragraphedeliste"/>
        <w:numPr>
          <w:ilvl w:val="0"/>
          <w:numId w:val="8"/>
        </w:numPr>
      </w:pPr>
      <w:r>
        <w:t>Justement, pour cette estimation des paramètres de moyenne et covariance, pour le moment, je la découple complètement de mon estimation</w:t>
      </w:r>
      <w:r w:rsidR="00FF0A91">
        <w:t>, un point reproché par Stéphane. Il est vrai que les paramètres de moyenne et de co</w:t>
      </w:r>
      <w:r w:rsidR="009F158C">
        <w:t xml:space="preserve">variance « cell-specific » dépendent en réalité aussi des profils d’expression purifiés individuels -&gt; faudrait t’il donc les intégrer dans le modèle, pour les optimiser de façon simultanée ? Dans certains cas, rares, par exemple pour </w:t>
      </w:r>
      <w:r w:rsidR="00F05F89">
        <w:t>évaluer la proportion</w:t>
      </w:r>
      <w:r w:rsidR="009F158C">
        <w:t xml:space="preserve"> tumoral</w:t>
      </w:r>
      <w:r w:rsidR="00F05F89">
        <w:t>e d’un échantillon</w:t>
      </w:r>
      <w:r w:rsidR="00121C9D">
        <w:t>, on dispose effectivement de références pures et de références contaminées (mixture tumoral-healthy cell lines), mais ce n’est pas le cas général -&gt; dans certains cas, le découplage est total, on évalue ainsi des populations cellulaires d’une maladie donnée, à partir de profils purs venant d’une maladie totalement différente, ou d’échantillons sains</w:t>
      </w:r>
    </w:p>
    <w:p w14:paraId="7D550191" w14:textId="72B10284" w:rsidR="00121C9D" w:rsidRDefault="009F64D8" w:rsidP="00241FDC">
      <w:pPr>
        <w:pStyle w:val="Paragraphedeliste"/>
        <w:numPr>
          <w:ilvl w:val="0"/>
          <w:numId w:val="8"/>
        </w:numPr>
      </w:pPr>
      <w:r>
        <w:t xml:space="preserve">Evaluation de différentes méthodes d’optimisation numérique (+ éventuelle preuve de la stricte </w:t>
      </w:r>
      <w:r w:rsidR="004534B4">
        <w:t>concavité de la fonction de log-vraisemblance, au moins celle décrivant la distribution des ratios cellulaires</w:t>
      </w:r>
      <w:r w:rsidR="00623100">
        <w:t xml:space="preserve"> conditionnellement à la connaissance des profils purifiés)</w:t>
      </w:r>
      <w:r w:rsidR="00420A21">
        <w:t xml:space="preserve">. Tu évoques notamment l’étude du </w:t>
      </w:r>
      <w:r w:rsidR="00420A21" w:rsidRPr="00420A21">
        <w:t xml:space="preserve">comportement </w:t>
      </w:r>
      <w:r w:rsidR="00A064A5">
        <w:t xml:space="preserve">et de la convergence </w:t>
      </w:r>
      <w:r w:rsidR="00420A21" w:rsidRPr="00420A21">
        <w:t xml:space="preserve">des algorithmes </w:t>
      </w:r>
      <w:r w:rsidR="00A064A5">
        <w:t>-&gt; est-ce qu’un ensemble de simulations numériques, sans preuve théorique de leur convergence asymptotique, serait suffisante ?</w:t>
      </w:r>
    </w:p>
    <w:p w14:paraId="483849E3" w14:textId="7DBA5E41" w:rsidR="00597A85" w:rsidRDefault="00597A85" w:rsidP="00241FDC">
      <w:pPr>
        <w:pStyle w:val="Paragraphedeliste"/>
        <w:numPr>
          <w:ilvl w:val="0"/>
          <w:numId w:val="8"/>
        </w:numPr>
      </w:pPr>
      <w:r>
        <w:t xml:space="preserve">Dérivation d’intervalles de confiance, asymptotiques tout du moins, via le calcul </w:t>
      </w:r>
      <w:r w:rsidR="009B075B">
        <w:t>exact de la matrice d’information de Fisher.</w:t>
      </w:r>
    </w:p>
    <w:p w14:paraId="413CB16F" w14:textId="3EC63848" w:rsidR="009B075B" w:rsidRDefault="009B075B" w:rsidP="00241FDC">
      <w:pPr>
        <w:pStyle w:val="Paragraphedeliste"/>
        <w:numPr>
          <w:ilvl w:val="0"/>
          <w:numId w:val="8"/>
        </w:numPr>
      </w:pPr>
      <w:r>
        <w:t>Tests numériques sur des échantillons réalistes (intégrer plus de populations cellulaires, augmenter vraiment la dimension du problème -&gt; plus de gènes, …)</w:t>
      </w:r>
    </w:p>
    <w:p w14:paraId="0C5A69CF" w14:textId="711A7E8E" w:rsidR="009B075B" w:rsidRDefault="009B075B" w:rsidP="00241FDC">
      <w:pPr>
        <w:pStyle w:val="Paragraphedeliste"/>
        <w:numPr>
          <w:ilvl w:val="0"/>
          <w:numId w:val="8"/>
        </w:numPr>
      </w:pPr>
      <w:r>
        <w:t xml:space="preserve">Etude de sensibilité du modèle aux hypothèses sous-jacentes, en modifiant par exemple le procédé de génération des données (ajout d’un bruit blanc gaussien, utilisation d’un poisson log-normal au lieu d’une distribution gaussienne pour les profils cellulaires, </w:t>
      </w:r>
      <w:r w:rsidR="00462809">
        <w:t xml:space="preserve">existence de différentes conditions biologiques, </w:t>
      </w:r>
      <w:r w:rsidR="00BB760C">
        <w:t xml:space="preserve">problèmes de normalisation des échantillons, </w:t>
      </w:r>
      <w:r>
        <w:t>etc</w:t>
      </w:r>
      <w:r w:rsidR="00490E87">
        <w:t xml:space="preserve">. </w:t>
      </w:r>
      <w:r>
        <w:t>)</w:t>
      </w:r>
    </w:p>
    <w:p w14:paraId="67A0824E" w14:textId="3991A93F" w:rsidR="00BB760C" w:rsidRDefault="00BB760C" w:rsidP="00241FDC">
      <w:pPr>
        <w:pStyle w:val="Paragraphedeliste"/>
        <w:numPr>
          <w:ilvl w:val="0"/>
          <w:numId w:val="8"/>
        </w:numPr>
      </w:pPr>
      <w:r>
        <w:t xml:space="preserve">Log2 transformation des échantillons permet certes de mieux respecter une hypothèse gaussienne, mais on perd alors </w:t>
      </w:r>
      <w:r w:rsidR="006B0DEF">
        <w:t>la linéarité entre les profils cellulaires purifiés et l’expression globale transcriptomique de l’échantillon)</w:t>
      </w:r>
    </w:p>
    <w:p w14:paraId="2DF0DC04" w14:textId="6B6D39DC" w:rsidR="002350BF" w:rsidRDefault="002350BF" w:rsidP="00DF17CD">
      <w:pPr>
        <w:pStyle w:val="Paragraphedeliste"/>
        <w:numPr>
          <w:ilvl w:val="0"/>
          <w:numId w:val="8"/>
        </w:numPr>
      </w:pPr>
      <w:r>
        <w:t xml:space="preserve">Tests sur des données réelles (par exemple, en reprenant le benchmark de </w:t>
      </w:r>
      <w:r w:rsidR="0030552A">
        <w:t xml:space="preserve">Zaitsev, avec déjà les scores existants estimés pour </w:t>
      </w:r>
      <w:r w:rsidR="00195FD6">
        <w:t xml:space="preserve">6 méthodes de déconvolution standards : </w:t>
      </w:r>
      <w:r w:rsidR="00195FD6">
        <w:t>EPIC [Rac17], CIBERSORT [New15], CIBERSORTx [New+19],</w:t>
      </w:r>
      <w:r w:rsidR="00195FD6">
        <w:t xml:space="preserve"> </w:t>
      </w:r>
      <w:r w:rsidR="00195FD6">
        <w:t>quanTIseq [Fin19], and ABIS</w:t>
      </w:r>
      <w:r w:rsidR="00195FD6">
        <w:t xml:space="preserve">), qu’on pourrait donc directement reprendre, </w:t>
      </w:r>
      <w:r w:rsidR="00C254AC">
        <w:t>performances évaluées</w:t>
      </w:r>
      <w:r w:rsidR="00195FD6">
        <w:t xml:space="preserve"> sur 5 jeux de données</w:t>
      </w:r>
      <w:r w:rsidR="00C254AC">
        <w:t xml:space="preserve"> de bulk transcriptome.</w:t>
      </w:r>
    </w:p>
    <w:p w14:paraId="26158F61" w14:textId="24E8C667" w:rsidR="00C254AC" w:rsidRDefault="00C254AC" w:rsidP="00DF17CD">
      <w:pPr>
        <w:pStyle w:val="Paragraphedeliste"/>
        <w:numPr>
          <w:ilvl w:val="0"/>
          <w:numId w:val="8"/>
        </w:numPr>
      </w:pPr>
      <w:r>
        <w:t xml:space="preserve">Evocation possible d’une extension </w:t>
      </w:r>
      <w:r w:rsidR="009472DD">
        <w:t>de l’algo, avec des données scRNA-Seq</w:t>
      </w:r>
      <w:r w:rsidR="007F30CD">
        <w:t xml:space="preserve"> </w:t>
      </w:r>
      <w:r w:rsidR="00CD1C30">
        <w:t xml:space="preserve">(reconstruction d’un pseudo-bulk en sommant les entités individuelles), ou en application </w:t>
      </w:r>
      <w:r w:rsidR="006C7027">
        <w:t xml:space="preserve">d’une approche </w:t>
      </w:r>
      <w:r w:rsidR="00CD1C30">
        <w:t>SRT (spatially resolved transcriptomics)</w:t>
      </w:r>
      <w:r w:rsidR="006C7027">
        <w:t xml:space="preserve"> -&gt; plutôt une extension, où pour le coup, un modèle type LDA + Poisson log-Normal pourrait être intéressant (on pourrait </w:t>
      </w:r>
      <w:r w:rsidR="00364684">
        <w:t xml:space="preserve">même imaginer faire mieux que de calculer des proportions, mais bien </w:t>
      </w:r>
      <w:r w:rsidR="00364684">
        <w:lastRenderedPageBreak/>
        <w:t>déterminer le nombre exact de cellules d’une population donnée, vu qu’un spot d’un lattice d’une expérience ST capture usuellement moins de 20 cellules individuelles en tout)</w:t>
      </w:r>
    </w:p>
    <w:p w14:paraId="3B628150" w14:textId="77777777" w:rsidR="009B075B" w:rsidRDefault="009B075B" w:rsidP="009B075B"/>
    <w:p w14:paraId="132864BD" w14:textId="26E1A375" w:rsidR="009B075B" w:rsidRPr="0079268A" w:rsidRDefault="009B075B" w:rsidP="009B075B">
      <w:r>
        <w:t>Question annexe : est-ce qu’une convolution de variables stochastiques (c’est-à-dire leur somme, en supposant leur indépendance respective) décrites par un</w:t>
      </w:r>
      <w:r w:rsidR="00490E87">
        <w:t>e</w:t>
      </w:r>
      <w:r>
        <w:t xml:space="preserve"> Poisson log-Normal est aussi identifiable à un</w:t>
      </w:r>
      <w:r w:rsidR="00490E87">
        <w:t>e distribution de</w:t>
      </w:r>
      <w:r>
        <w:t xml:space="preserve"> Poisson log-Normal</w:t>
      </w:r>
      <w:r w:rsidR="002350BF">
        <w:t>, ou à une distribution stat connue ?</w:t>
      </w:r>
    </w:p>
    <w:p w14:paraId="605CBB20" w14:textId="77777777" w:rsidR="004113EF" w:rsidRPr="004113EF" w:rsidRDefault="004113EF" w:rsidP="004113EF"/>
    <w:p w14:paraId="1D4A9A9A" w14:textId="77777777" w:rsidR="004C1C3E" w:rsidRPr="00070C8C" w:rsidRDefault="004C1C3E" w:rsidP="004C1C3E">
      <w:pPr>
        <w:pStyle w:val="PrformatHTML"/>
      </w:pPr>
    </w:p>
    <w:p w14:paraId="38828700" w14:textId="77777777" w:rsidR="00946445" w:rsidRPr="004C1C3E" w:rsidRDefault="00946445" w:rsidP="00946445"/>
    <w:sectPr w:rsidR="00946445" w:rsidRPr="004C1C3E" w:rsidSect="009464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Roman10-Bold">
    <w:altName w:val="Calibri"/>
    <w:panose1 w:val="00000000000000000000"/>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ibertinusSerif-Regular">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C024B4"/>
    <w:multiLevelType w:val="hybridMultilevel"/>
    <w:tmpl w:val="DF4A948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550612"/>
    <w:multiLevelType w:val="hybridMultilevel"/>
    <w:tmpl w:val="1526965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1D3EA4"/>
    <w:multiLevelType w:val="hybridMultilevel"/>
    <w:tmpl w:val="D6ACFE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FD353DA"/>
    <w:multiLevelType w:val="hybridMultilevel"/>
    <w:tmpl w:val="0E24C2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DC24205"/>
    <w:multiLevelType w:val="hybridMultilevel"/>
    <w:tmpl w:val="174E82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962581"/>
    <w:multiLevelType w:val="hybridMultilevel"/>
    <w:tmpl w:val="135278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F">
      <w:start w:val="1"/>
      <w:numFmt w:val="decimal"/>
      <w:lvlText w:val="%3."/>
      <w:lvlJc w:val="left"/>
      <w:pPr>
        <w:ind w:left="720" w:hanging="360"/>
      </w:pPr>
    </w:lvl>
    <w:lvl w:ilvl="3" w:tplc="040C000F">
      <w:start w:val="1"/>
      <w:numFmt w:val="decimal"/>
      <w:lvlText w:val="%4."/>
      <w:lvlJc w:val="left"/>
      <w:pPr>
        <w:ind w:left="720" w:hanging="360"/>
      </w:p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2B7670"/>
    <w:multiLevelType w:val="hybridMultilevel"/>
    <w:tmpl w:val="EB8E3D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F834166"/>
    <w:multiLevelType w:val="hybridMultilevel"/>
    <w:tmpl w:val="39B43BA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9C7D5E"/>
    <w:multiLevelType w:val="hybridMultilevel"/>
    <w:tmpl w:val="5B483B7A"/>
    <w:lvl w:ilvl="0" w:tplc="ADEEF8F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BB40029"/>
    <w:multiLevelType w:val="hybridMultilevel"/>
    <w:tmpl w:val="8B107084"/>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F2D4588"/>
    <w:multiLevelType w:val="hybridMultilevel"/>
    <w:tmpl w:val="FA9016B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93313738">
    <w:abstractNumId w:val="5"/>
  </w:num>
  <w:num w:numId="2" w16cid:durableId="1834829749">
    <w:abstractNumId w:val="3"/>
  </w:num>
  <w:num w:numId="3" w16cid:durableId="1336302947">
    <w:abstractNumId w:val="8"/>
  </w:num>
  <w:num w:numId="4" w16cid:durableId="1084761914">
    <w:abstractNumId w:val="2"/>
  </w:num>
  <w:num w:numId="5" w16cid:durableId="218639542">
    <w:abstractNumId w:val="6"/>
  </w:num>
  <w:num w:numId="6" w16cid:durableId="1676301891">
    <w:abstractNumId w:val="10"/>
  </w:num>
  <w:num w:numId="7" w16cid:durableId="1419058306">
    <w:abstractNumId w:val="7"/>
  </w:num>
  <w:num w:numId="8" w16cid:durableId="1293750276">
    <w:abstractNumId w:val="1"/>
  </w:num>
  <w:num w:numId="9" w16cid:durableId="1262641678">
    <w:abstractNumId w:val="9"/>
  </w:num>
  <w:num w:numId="10" w16cid:durableId="379406409">
    <w:abstractNumId w:val="4"/>
  </w:num>
  <w:num w:numId="11" w16cid:durableId="139881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09"/>
    <w:rsid w:val="00043F5D"/>
    <w:rsid w:val="00064D09"/>
    <w:rsid w:val="00065FF4"/>
    <w:rsid w:val="00070C8C"/>
    <w:rsid w:val="000D7888"/>
    <w:rsid w:val="000E73BB"/>
    <w:rsid w:val="000F76A8"/>
    <w:rsid w:val="00116D7B"/>
    <w:rsid w:val="00121C9D"/>
    <w:rsid w:val="0012330E"/>
    <w:rsid w:val="00156F97"/>
    <w:rsid w:val="00173AC6"/>
    <w:rsid w:val="00195FD6"/>
    <w:rsid w:val="001C276F"/>
    <w:rsid w:val="001C36E3"/>
    <w:rsid w:val="001D2158"/>
    <w:rsid w:val="001D6812"/>
    <w:rsid w:val="001F6619"/>
    <w:rsid w:val="00217B2A"/>
    <w:rsid w:val="002223E1"/>
    <w:rsid w:val="002350BF"/>
    <w:rsid w:val="00237B42"/>
    <w:rsid w:val="0027170D"/>
    <w:rsid w:val="00277211"/>
    <w:rsid w:val="00292C25"/>
    <w:rsid w:val="00297241"/>
    <w:rsid w:val="002E51FE"/>
    <w:rsid w:val="00300B86"/>
    <w:rsid w:val="00300FC4"/>
    <w:rsid w:val="0030552A"/>
    <w:rsid w:val="003174B7"/>
    <w:rsid w:val="0034330F"/>
    <w:rsid w:val="00364684"/>
    <w:rsid w:val="00365484"/>
    <w:rsid w:val="00380824"/>
    <w:rsid w:val="003C6C5A"/>
    <w:rsid w:val="003D4421"/>
    <w:rsid w:val="003D62CE"/>
    <w:rsid w:val="003F5BFB"/>
    <w:rsid w:val="00402818"/>
    <w:rsid w:val="00410BC1"/>
    <w:rsid w:val="004113EF"/>
    <w:rsid w:val="00420A21"/>
    <w:rsid w:val="004344AE"/>
    <w:rsid w:val="0045263E"/>
    <w:rsid w:val="004534B4"/>
    <w:rsid w:val="004605B3"/>
    <w:rsid w:val="00462809"/>
    <w:rsid w:val="00490E87"/>
    <w:rsid w:val="00496DA9"/>
    <w:rsid w:val="004C1C3E"/>
    <w:rsid w:val="00514135"/>
    <w:rsid w:val="00553A83"/>
    <w:rsid w:val="00597A85"/>
    <w:rsid w:val="005B1773"/>
    <w:rsid w:val="005B1D10"/>
    <w:rsid w:val="005B4E95"/>
    <w:rsid w:val="005E1288"/>
    <w:rsid w:val="005F630A"/>
    <w:rsid w:val="00623100"/>
    <w:rsid w:val="006260AF"/>
    <w:rsid w:val="00631DDC"/>
    <w:rsid w:val="00633997"/>
    <w:rsid w:val="00662242"/>
    <w:rsid w:val="006750A9"/>
    <w:rsid w:val="006B0DEF"/>
    <w:rsid w:val="006C2F8A"/>
    <w:rsid w:val="006C7027"/>
    <w:rsid w:val="006E437F"/>
    <w:rsid w:val="0070042B"/>
    <w:rsid w:val="00732465"/>
    <w:rsid w:val="00741EEF"/>
    <w:rsid w:val="00742EE0"/>
    <w:rsid w:val="007472F2"/>
    <w:rsid w:val="007613C5"/>
    <w:rsid w:val="00763164"/>
    <w:rsid w:val="007702D2"/>
    <w:rsid w:val="007838D6"/>
    <w:rsid w:val="007925C4"/>
    <w:rsid w:val="0079268A"/>
    <w:rsid w:val="007926A4"/>
    <w:rsid w:val="007A20E1"/>
    <w:rsid w:val="007C3CCD"/>
    <w:rsid w:val="007F30CD"/>
    <w:rsid w:val="0081027C"/>
    <w:rsid w:val="00810BDA"/>
    <w:rsid w:val="00810C23"/>
    <w:rsid w:val="00811A7D"/>
    <w:rsid w:val="008164F9"/>
    <w:rsid w:val="00852348"/>
    <w:rsid w:val="00873F86"/>
    <w:rsid w:val="008B4773"/>
    <w:rsid w:val="008C3AFF"/>
    <w:rsid w:val="008D3CBF"/>
    <w:rsid w:val="00905E0F"/>
    <w:rsid w:val="00917E16"/>
    <w:rsid w:val="00931CB5"/>
    <w:rsid w:val="00946445"/>
    <w:rsid w:val="009472DD"/>
    <w:rsid w:val="00951EF6"/>
    <w:rsid w:val="009854E5"/>
    <w:rsid w:val="00996323"/>
    <w:rsid w:val="00997A77"/>
    <w:rsid w:val="009B075B"/>
    <w:rsid w:val="009C312C"/>
    <w:rsid w:val="009D58C1"/>
    <w:rsid w:val="009F158C"/>
    <w:rsid w:val="009F1D24"/>
    <w:rsid w:val="009F23C3"/>
    <w:rsid w:val="009F64D8"/>
    <w:rsid w:val="00A064A5"/>
    <w:rsid w:val="00A14DC5"/>
    <w:rsid w:val="00A20E26"/>
    <w:rsid w:val="00A439B5"/>
    <w:rsid w:val="00A7112F"/>
    <w:rsid w:val="00A8634F"/>
    <w:rsid w:val="00AF0974"/>
    <w:rsid w:val="00AF1B7A"/>
    <w:rsid w:val="00AF3513"/>
    <w:rsid w:val="00B02CEF"/>
    <w:rsid w:val="00B32920"/>
    <w:rsid w:val="00B334AF"/>
    <w:rsid w:val="00B54C7D"/>
    <w:rsid w:val="00B56D12"/>
    <w:rsid w:val="00B656D0"/>
    <w:rsid w:val="00B675DC"/>
    <w:rsid w:val="00B93BA0"/>
    <w:rsid w:val="00B97CC0"/>
    <w:rsid w:val="00BB760C"/>
    <w:rsid w:val="00BC439D"/>
    <w:rsid w:val="00BD50B3"/>
    <w:rsid w:val="00C254AC"/>
    <w:rsid w:val="00C27AD3"/>
    <w:rsid w:val="00C369BB"/>
    <w:rsid w:val="00C53EB6"/>
    <w:rsid w:val="00C62372"/>
    <w:rsid w:val="00C63D4E"/>
    <w:rsid w:val="00C67C1A"/>
    <w:rsid w:val="00C75428"/>
    <w:rsid w:val="00C775AD"/>
    <w:rsid w:val="00C87D66"/>
    <w:rsid w:val="00C90E75"/>
    <w:rsid w:val="00CC0A41"/>
    <w:rsid w:val="00CC10B6"/>
    <w:rsid w:val="00CC5013"/>
    <w:rsid w:val="00CD1C30"/>
    <w:rsid w:val="00D10324"/>
    <w:rsid w:val="00D17C4D"/>
    <w:rsid w:val="00D30CE0"/>
    <w:rsid w:val="00D44964"/>
    <w:rsid w:val="00D450E0"/>
    <w:rsid w:val="00D45FC8"/>
    <w:rsid w:val="00D47300"/>
    <w:rsid w:val="00D50417"/>
    <w:rsid w:val="00D63CBF"/>
    <w:rsid w:val="00D6797F"/>
    <w:rsid w:val="00D76307"/>
    <w:rsid w:val="00D87939"/>
    <w:rsid w:val="00DB0D6B"/>
    <w:rsid w:val="00DB7A51"/>
    <w:rsid w:val="00DC48D3"/>
    <w:rsid w:val="00DD2653"/>
    <w:rsid w:val="00DE6CEF"/>
    <w:rsid w:val="00E14123"/>
    <w:rsid w:val="00E367EA"/>
    <w:rsid w:val="00E42399"/>
    <w:rsid w:val="00E46DFB"/>
    <w:rsid w:val="00E63580"/>
    <w:rsid w:val="00E678DD"/>
    <w:rsid w:val="00E70F0F"/>
    <w:rsid w:val="00EB5617"/>
    <w:rsid w:val="00ED4BD1"/>
    <w:rsid w:val="00F05F89"/>
    <w:rsid w:val="00F16512"/>
    <w:rsid w:val="00F30218"/>
    <w:rsid w:val="00F31720"/>
    <w:rsid w:val="00F55D5A"/>
    <w:rsid w:val="00FA69FF"/>
    <w:rsid w:val="00FA7B15"/>
    <w:rsid w:val="00FB4BD8"/>
    <w:rsid w:val="00FC1252"/>
    <w:rsid w:val="00FE2890"/>
    <w:rsid w:val="00FE7888"/>
    <w:rsid w:val="00FE7D53"/>
    <w:rsid w:val="00FF0A91"/>
    <w:rsid w:val="00FF6D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7D4D"/>
  <w15:chartTrackingRefBased/>
  <w15:docId w15:val="{7830D52E-A84D-4CB1-A3C9-EE592A4FD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2C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02C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464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6445"/>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B02CE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B02CEF"/>
    <w:pPr>
      <w:ind w:left="720"/>
      <w:contextualSpacing/>
    </w:pPr>
  </w:style>
  <w:style w:type="character" w:styleId="Lienhypertexte">
    <w:name w:val="Hyperlink"/>
    <w:basedOn w:val="Policepardfaut"/>
    <w:uiPriority w:val="99"/>
    <w:unhideWhenUsed/>
    <w:rsid w:val="00B02CEF"/>
    <w:rPr>
      <w:color w:val="0563C1" w:themeColor="hyperlink"/>
      <w:u w:val="single"/>
    </w:rPr>
  </w:style>
  <w:style w:type="paragraph" w:styleId="PrformatHTML">
    <w:name w:val="HTML Preformatted"/>
    <w:basedOn w:val="Normal"/>
    <w:link w:val="PrformatHTMLCar"/>
    <w:uiPriority w:val="99"/>
    <w:unhideWhenUsed/>
    <w:rsid w:val="00B02C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B02CEF"/>
    <w:rPr>
      <w:rFonts w:ascii="Courier New" w:eastAsia="Times New Roman" w:hAnsi="Courier New" w:cs="Courier New"/>
      <w:kern w:val="0"/>
      <w:sz w:val="20"/>
      <w:szCs w:val="20"/>
      <w:lang w:eastAsia="fr-FR"/>
      <w14:ligatures w14:val="none"/>
    </w:rPr>
  </w:style>
  <w:style w:type="character" w:customStyle="1" w:styleId="Titre1Car">
    <w:name w:val="Titre 1 Car"/>
    <w:basedOn w:val="Policepardfaut"/>
    <w:link w:val="Titre1"/>
    <w:uiPriority w:val="9"/>
    <w:rsid w:val="00B02CEF"/>
    <w:rPr>
      <w:rFonts w:asciiTheme="majorHAnsi" w:eastAsiaTheme="majorEastAsia" w:hAnsiTheme="majorHAnsi" w:cstheme="majorBidi"/>
      <w:color w:val="2F5496" w:themeColor="accent1" w:themeShade="BF"/>
      <w:sz w:val="32"/>
      <w:szCs w:val="32"/>
    </w:rPr>
  </w:style>
  <w:style w:type="character" w:styleId="Mentionnonrsolue">
    <w:name w:val="Unresolved Mention"/>
    <w:basedOn w:val="Policepardfaut"/>
    <w:uiPriority w:val="99"/>
    <w:semiHidden/>
    <w:unhideWhenUsed/>
    <w:rsid w:val="00B56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6981">
      <w:bodyDiv w:val="1"/>
      <w:marLeft w:val="0"/>
      <w:marRight w:val="0"/>
      <w:marTop w:val="0"/>
      <w:marBottom w:val="0"/>
      <w:divBdr>
        <w:top w:val="none" w:sz="0" w:space="0" w:color="auto"/>
        <w:left w:val="none" w:sz="0" w:space="0" w:color="auto"/>
        <w:bottom w:val="none" w:sz="0" w:space="0" w:color="auto"/>
        <w:right w:val="none" w:sz="0" w:space="0" w:color="auto"/>
      </w:divBdr>
      <w:divsChild>
        <w:div w:id="360055388">
          <w:marLeft w:val="0"/>
          <w:marRight w:val="0"/>
          <w:marTop w:val="0"/>
          <w:marBottom w:val="0"/>
          <w:divBdr>
            <w:top w:val="single" w:sz="2" w:space="0" w:color="D9D9E3"/>
            <w:left w:val="single" w:sz="2" w:space="0" w:color="D9D9E3"/>
            <w:bottom w:val="single" w:sz="2" w:space="0" w:color="D9D9E3"/>
            <w:right w:val="single" w:sz="2" w:space="0" w:color="D9D9E3"/>
          </w:divBdr>
          <w:divsChild>
            <w:div w:id="1280381026">
              <w:marLeft w:val="0"/>
              <w:marRight w:val="0"/>
              <w:marTop w:val="0"/>
              <w:marBottom w:val="0"/>
              <w:divBdr>
                <w:top w:val="single" w:sz="2" w:space="0" w:color="D9D9E3"/>
                <w:left w:val="single" w:sz="2" w:space="0" w:color="D9D9E3"/>
                <w:bottom w:val="single" w:sz="2" w:space="0" w:color="D9D9E3"/>
                <w:right w:val="single" w:sz="2" w:space="0" w:color="D9D9E3"/>
              </w:divBdr>
              <w:divsChild>
                <w:div w:id="721371676">
                  <w:marLeft w:val="0"/>
                  <w:marRight w:val="0"/>
                  <w:marTop w:val="0"/>
                  <w:marBottom w:val="0"/>
                  <w:divBdr>
                    <w:top w:val="single" w:sz="2" w:space="0" w:color="D9D9E3"/>
                    <w:left w:val="single" w:sz="2" w:space="0" w:color="D9D9E3"/>
                    <w:bottom w:val="single" w:sz="2" w:space="0" w:color="D9D9E3"/>
                    <w:right w:val="single" w:sz="2" w:space="0" w:color="D9D9E3"/>
                  </w:divBdr>
                  <w:divsChild>
                    <w:div w:id="1084254907">
                      <w:marLeft w:val="0"/>
                      <w:marRight w:val="0"/>
                      <w:marTop w:val="0"/>
                      <w:marBottom w:val="0"/>
                      <w:divBdr>
                        <w:top w:val="single" w:sz="2" w:space="0" w:color="D9D9E3"/>
                        <w:left w:val="single" w:sz="2" w:space="0" w:color="D9D9E3"/>
                        <w:bottom w:val="single" w:sz="2" w:space="0" w:color="D9D9E3"/>
                        <w:right w:val="single" w:sz="2" w:space="0" w:color="D9D9E3"/>
                      </w:divBdr>
                      <w:divsChild>
                        <w:div w:id="1535339392">
                          <w:marLeft w:val="0"/>
                          <w:marRight w:val="0"/>
                          <w:marTop w:val="0"/>
                          <w:marBottom w:val="0"/>
                          <w:divBdr>
                            <w:top w:val="single" w:sz="2" w:space="0" w:color="D9D9E3"/>
                            <w:left w:val="single" w:sz="2" w:space="0" w:color="D9D9E3"/>
                            <w:bottom w:val="single" w:sz="2" w:space="0" w:color="D9D9E3"/>
                            <w:right w:val="single" w:sz="2" w:space="0" w:color="D9D9E3"/>
                          </w:divBdr>
                          <w:divsChild>
                            <w:div w:id="744649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794902655">
                                  <w:marLeft w:val="0"/>
                                  <w:marRight w:val="0"/>
                                  <w:marTop w:val="0"/>
                                  <w:marBottom w:val="0"/>
                                  <w:divBdr>
                                    <w:top w:val="single" w:sz="2" w:space="0" w:color="D9D9E3"/>
                                    <w:left w:val="single" w:sz="2" w:space="0" w:color="D9D9E3"/>
                                    <w:bottom w:val="single" w:sz="2" w:space="0" w:color="D9D9E3"/>
                                    <w:right w:val="single" w:sz="2" w:space="0" w:color="D9D9E3"/>
                                  </w:divBdr>
                                  <w:divsChild>
                                    <w:div w:id="2111729748">
                                      <w:marLeft w:val="0"/>
                                      <w:marRight w:val="0"/>
                                      <w:marTop w:val="0"/>
                                      <w:marBottom w:val="0"/>
                                      <w:divBdr>
                                        <w:top w:val="single" w:sz="2" w:space="0" w:color="D9D9E3"/>
                                        <w:left w:val="single" w:sz="2" w:space="0" w:color="D9D9E3"/>
                                        <w:bottom w:val="single" w:sz="2" w:space="0" w:color="D9D9E3"/>
                                        <w:right w:val="single" w:sz="2" w:space="0" w:color="D9D9E3"/>
                                      </w:divBdr>
                                      <w:divsChild>
                                        <w:div w:id="667561230">
                                          <w:marLeft w:val="0"/>
                                          <w:marRight w:val="0"/>
                                          <w:marTop w:val="0"/>
                                          <w:marBottom w:val="0"/>
                                          <w:divBdr>
                                            <w:top w:val="single" w:sz="2" w:space="0" w:color="D9D9E3"/>
                                            <w:left w:val="single" w:sz="2" w:space="0" w:color="D9D9E3"/>
                                            <w:bottom w:val="single" w:sz="2" w:space="0" w:color="D9D9E3"/>
                                            <w:right w:val="single" w:sz="2" w:space="0" w:color="D9D9E3"/>
                                          </w:divBdr>
                                          <w:divsChild>
                                            <w:div w:id="1269389666">
                                              <w:marLeft w:val="0"/>
                                              <w:marRight w:val="0"/>
                                              <w:marTop w:val="0"/>
                                              <w:marBottom w:val="0"/>
                                              <w:divBdr>
                                                <w:top w:val="single" w:sz="2" w:space="0" w:color="D9D9E3"/>
                                                <w:left w:val="single" w:sz="2" w:space="0" w:color="D9D9E3"/>
                                                <w:bottom w:val="single" w:sz="2" w:space="0" w:color="D9D9E3"/>
                                                <w:right w:val="single" w:sz="2" w:space="0" w:color="D9D9E3"/>
                                              </w:divBdr>
                                              <w:divsChild>
                                                <w:div w:id="14313828">
                                                  <w:marLeft w:val="0"/>
                                                  <w:marRight w:val="0"/>
                                                  <w:marTop w:val="0"/>
                                                  <w:marBottom w:val="0"/>
                                                  <w:divBdr>
                                                    <w:top w:val="single" w:sz="2" w:space="0" w:color="D9D9E3"/>
                                                    <w:left w:val="single" w:sz="2" w:space="0" w:color="D9D9E3"/>
                                                    <w:bottom w:val="single" w:sz="2" w:space="0" w:color="D9D9E3"/>
                                                    <w:right w:val="single" w:sz="2" w:space="0" w:color="D9D9E3"/>
                                                  </w:divBdr>
                                                  <w:divsChild>
                                                    <w:div w:id="1322807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95382805">
          <w:marLeft w:val="0"/>
          <w:marRight w:val="0"/>
          <w:marTop w:val="0"/>
          <w:marBottom w:val="0"/>
          <w:divBdr>
            <w:top w:val="none" w:sz="0" w:space="0" w:color="auto"/>
            <w:left w:val="none" w:sz="0" w:space="0" w:color="auto"/>
            <w:bottom w:val="none" w:sz="0" w:space="0" w:color="auto"/>
            <w:right w:val="none" w:sz="0" w:space="0" w:color="auto"/>
          </w:divBdr>
        </w:div>
      </w:divsChild>
    </w:div>
    <w:div w:id="829906474">
      <w:bodyDiv w:val="1"/>
      <w:marLeft w:val="0"/>
      <w:marRight w:val="0"/>
      <w:marTop w:val="0"/>
      <w:marBottom w:val="0"/>
      <w:divBdr>
        <w:top w:val="none" w:sz="0" w:space="0" w:color="auto"/>
        <w:left w:val="none" w:sz="0" w:space="0" w:color="auto"/>
        <w:bottom w:val="none" w:sz="0" w:space="0" w:color="auto"/>
        <w:right w:val="none" w:sz="0" w:space="0" w:color="auto"/>
      </w:divBdr>
    </w:div>
    <w:div w:id="200967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8/jcgs.2009.08054" TargetMode="External"/><Relationship Id="rId13" Type="http://schemas.openxmlformats.org/officeDocument/2006/relationships/hyperlink" Target="https://map5.mi.parisdescartes.fr/events/adrian-raftery-university-of-washington-5/" TargetMode="External"/><Relationship Id="rId18" Type="http://schemas.openxmlformats.org/officeDocument/2006/relationships/hyperlink" Target="https://journal.r-project.org/archive/2021/RJ-2021-089/RJ-2021-089.pdf" TargetMode="Externa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https://link.springer.com/article/10.1007/s00357-022-09413-z" TargetMode="External"/><Relationship Id="rId12" Type="http://schemas.openxmlformats.org/officeDocument/2006/relationships/hyperlink" Target="https://cran.r-project.org/web/packages/overlapping/index.html" TargetMode="Externa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arxiv.org/abs/math/0610402" TargetMode="External"/><Relationship Id="rId20" Type="http://schemas.openxmlformats.org/officeDocument/2006/relationships/hyperlink" Target="https://agustinus.kristia.de/techblog/2020/11/02/hessian-curvatures/" TargetMode="External"/><Relationship Id="rId1" Type="http://schemas.openxmlformats.org/officeDocument/2006/relationships/numbering" Target="numbering.xml"/><Relationship Id="rId6" Type="http://schemas.openxmlformats.org/officeDocument/2006/relationships/hyperlink" Target="https://link.springer.com/article/10.1007/s00180-022-01230-7" TargetMode="External"/><Relationship Id="rId11" Type="http://schemas.openxmlformats.org/officeDocument/2006/relationships/hyperlink" Target="https://www.frontiersin.org/articles/10.3389/fpsyg.2019.01089/full" TargetMode="External"/><Relationship Id="rId5" Type="http://schemas.openxmlformats.org/officeDocument/2006/relationships/image" Target="media/image1.emf"/><Relationship Id="rId15" Type="http://schemas.openxmlformats.org/officeDocument/2006/relationships/hyperlink" Target="https://cran.r-project.org/web/packages/marqLevAlg/index.html" TargetMode="External"/><Relationship Id="rId23" Type="http://schemas.openxmlformats.org/officeDocument/2006/relationships/theme" Target="theme/theme1.xml"/><Relationship Id="rId10" Type="http://schemas.openxmlformats.org/officeDocument/2006/relationships/hyperlink" Target="https://arxiv.org/abs/1407.7172" TargetMode="External"/><Relationship Id="rId19" Type="http://schemas.openxmlformats.org/officeDocument/2006/relationships/hyperlink" Target="https://www.sciencedirect.com/science/article/pii/S0169260713001363" TargetMode="External"/><Relationship Id="rId4" Type="http://schemas.openxmlformats.org/officeDocument/2006/relationships/webSettings" Target="webSettings.xml"/><Relationship Id="rId9" Type="http://schemas.openxmlformats.org/officeDocument/2006/relationships/hyperlink" Target="https://cran.r-project.org/web/packages/MixSim/index.html" TargetMode="External"/><Relationship Id="rId14" Type="http://schemas.openxmlformats.org/officeDocument/2006/relationships/hyperlink" Target="https://en.wikipedia.org/wiki/Sparse_dictionary_learning"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6</Pages>
  <Words>2989</Words>
  <Characters>16442</Characters>
  <Application>Microsoft Office Word</Application>
  <DocSecurity>0</DocSecurity>
  <Lines>137</Lines>
  <Paragraphs>38</Paragraphs>
  <ScaleCrop>false</ScaleCrop>
  <Company/>
  <LinksUpToDate>false</LinksUpToDate>
  <CharactersWithSpaces>19393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CHASSAGNOL</dc:creator>
  <cp:keywords/>
  <dc:description/>
  <cp:lastModifiedBy>Bastien Chassagnol</cp:lastModifiedBy>
  <cp:revision>184</cp:revision>
  <dcterms:created xsi:type="dcterms:W3CDTF">2023-12-19T14:21:00Z</dcterms:created>
  <dcterms:modified xsi:type="dcterms:W3CDTF">2023-12-19T18:28:00Z</dcterms:modified>
</cp:coreProperties>
</file>