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Partnering</w:t>
      </w:r>
      <w:r>
        <w:t xml:space="preserve"> </w:t>
      </w:r>
      <w:r>
        <w:t xml:space="preserve">with</w:t>
      </w:r>
      <w:r>
        <w:t xml:space="preserve"> </w:t>
      </w:r>
      <w:r>
        <w:t xml:space="preserve">Regional</w:t>
      </w:r>
      <w:r>
        <w:t xml:space="preserve"> </w:t>
      </w:r>
      <w:r>
        <w:t xml:space="preserve">Fisheries</w:t>
      </w:r>
      <w:r>
        <w:t xml:space="preserve"> </w:t>
      </w:r>
      <w:r>
        <w:t xml:space="preserve">Management</w:t>
      </w:r>
      <w:r>
        <w:t xml:space="preserve"> </w:t>
      </w:r>
      <w:r>
        <w:t xml:space="preserve">Organisations</w:t>
      </w:r>
      <w:r>
        <w:t xml:space="preserve"> </w:t>
      </w:r>
      <w:r>
        <w:t xml:space="preserve">to</w:t>
      </w:r>
      <w:r>
        <w:t xml:space="preserve"> </w:t>
      </w:r>
      <w:r>
        <w:t xml:space="preserve">build</w:t>
      </w:r>
      <w:r>
        <w:t xml:space="preserve"> </w:t>
      </w:r>
      <w:r>
        <w:t xml:space="preserve">global</w:t>
      </w:r>
      <w:r>
        <w:t xml:space="preserve"> </w:t>
      </w:r>
      <w:r>
        <w:t xml:space="preserve">data</w:t>
      </w:r>
      <w:r>
        <w:t xml:space="preserve"> </w:t>
      </w:r>
      <w:r>
        <w:t xml:space="preserve">sets</w:t>
      </w:r>
      <w:r>
        <w:t xml:space="preserve"> </w:t>
      </w:r>
      <w:r>
        <w:t xml:space="preserve">of</w:t>
      </w:r>
      <w:r>
        <w:t xml:space="preserve"> </w:t>
      </w:r>
      <w:r>
        <w:t xml:space="preserve">tuna</w:t>
      </w:r>
      <w:r>
        <w:t xml:space="preserve"> </w:t>
      </w:r>
      <w:r>
        <w:t xml:space="preserve">fisheries</w:t>
      </w:r>
      <w:r>
        <w:t xml:space="preserve"> </w:t>
      </w:r>
      <w:r>
        <w:t xml:space="preserve">catches</w:t>
      </w:r>
    </w:p>
    <w:p>
      <w:pPr>
        <w:pStyle w:val="Author"/>
      </w:pPr>
      <w:r>
        <w:t xml:space="preserve">Emmanuel</w:t>
      </w:r>
      <w:r>
        <w:t xml:space="preserve"> </w:t>
      </w:r>
      <w:r>
        <w:t xml:space="preserve">Chassot</w:t>
      </w:r>
      <w:r>
        <w:rPr>
          <w:vertAlign w:val="superscript"/>
        </w:rPr>
        <w:t xml:space="preserve">1,2</w:t>
      </w:r>
      <w:r>
        <w:t xml:space="preserve">,</w:t>
      </w:r>
      <w:r>
        <w:t xml:space="preserve"> </w:t>
      </w:r>
      <w:r>
        <w:t xml:space="preserve">Emmanuel</w:t>
      </w:r>
      <w:r>
        <w:t xml:space="preserve"> </w:t>
      </w:r>
      <w:r>
        <w:t xml:space="preserve">Blondel</w:t>
      </w:r>
      <w:r>
        <w:rPr>
          <w:vertAlign w:val="superscript"/>
        </w:rPr>
        <w:t xml:space="preserve">2,</w:t>
      </w:r>
      <m:oMath>
        <m:sSup>
          <m:e>
            <m:r>
              <m:t>​</m:t>
            </m:r>
          </m:e>
          <m:sup>
            <m:r>
              <m:rPr>
                <m:sty m:val="p"/>
              </m:rPr>
              <m:t>†</m:t>
            </m:r>
          </m:sup>
        </m:sSup>
      </m:oMath>
      <w:r>
        <w:t xml:space="preserve">,</w:t>
      </w:r>
      <w:r>
        <w:t xml:space="preserve"> </w:t>
      </w:r>
      <w:r>
        <w:t xml:space="preserve">Peter</w:t>
      </w:r>
      <w:r>
        <w:t xml:space="preserve"> </w:t>
      </w:r>
      <w:r>
        <w:t xml:space="preserve">Williams</w:t>
      </w:r>
      <w:r>
        <w:rPr>
          <w:vertAlign w:val="superscript"/>
        </w:rPr>
        <w:t xml:space="preserve">3</w:t>
      </w:r>
      <w:r>
        <w:t xml:space="preserve">,</w:t>
      </w:r>
      <w:r>
        <w:t xml:space="preserve"> </w:t>
      </w:r>
      <w:r>
        <w:t xml:space="preserve">Nick</w:t>
      </w:r>
      <w:r>
        <w:t xml:space="preserve"> </w:t>
      </w:r>
      <w:r>
        <w:t xml:space="preserve">Vogel</w:t>
      </w:r>
      <w:r>
        <w:rPr>
          <w:vertAlign w:val="superscript"/>
        </w:rPr>
        <w:t xml:space="preserve">4</w:t>
      </w:r>
      <w:r>
        <w:t xml:space="preserve">,</w:t>
      </w:r>
      <w:r>
        <w:t xml:space="preserve"> </w:t>
      </w:r>
      <w:r>
        <w:t xml:space="preserve">Carlos</w:t>
      </w:r>
      <w:r>
        <w:t xml:space="preserve"> </w:t>
      </w:r>
      <w:r>
        <w:t xml:space="preserve">Palma</w:t>
      </w:r>
      <w:r>
        <w:rPr>
          <w:vertAlign w:val="superscript"/>
        </w:rPr>
        <w:t xml:space="preserve">5</w:t>
      </w:r>
      <w:r>
        <w:t xml:space="preserve">,</w:t>
      </w:r>
      <w:r>
        <w:t xml:space="preserve"> </w:t>
      </w:r>
      <w:r>
        <w:t xml:space="preserve">Colin</w:t>
      </w:r>
      <w:r>
        <w:t xml:space="preserve"> </w:t>
      </w:r>
      <w:r>
        <w:t xml:space="preserve">Millar</w:t>
      </w:r>
      <w:r>
        <w:rPr>
          <w:vertAlign w:val="superscript"/>
        </w:rPr>
        <w:t xml:space="preserve">6</w:t>
      </w:r>
      <w:r>
        <w:t xml:space="preserve">,</w:t>
      </w:r>
      <w:r>
        <w:t xml:space="preserve"> </w:t>
      </w:r>
      <w:r>
        <w:t xml:space="preserve">Tim</w:t>
      </w:r>
      <w:r>
        <w:t xml:space="preserve"> </w:t>
      </w:r>
      <w:r>
        <w:t xml:space="preserve">Jones</w:t>
      </w:r>
      <w:r>
        <w:rPr>
          <w:vertAlign w:val="superscript"/>
        </w:rPr>
        <w:t xml:space="preserve">7</w:t>
      </w:r>
      <w:r>
        <w:t xml:space="preserve">,</w:t>
      </w:r>
      <w:r>
        <w:t xml:space="preserve"> </w:t>
      </w:r>
      <w:r>
        <w:t xml:space="preserve">Sylvain</w:t>
      </w:r>
      <w:r>
        <w:t xml:space="preserve"> </w:t>
      </w:r>
      <w:r>
        <w:t xml:space="preserve">Caillot</w:t>
      </w:r>
      <w:r>
        <w:rPr>
          <w:vertAlign w:val="superscript"/>
        </w:rPr>
        <w:t xml:space="preserve">4</w:t>
      </w:r>
      <w:r>
        <w:t xml:space="preserve">,</w:t>
      </w:r>
      <w:r>
        <w:t xml:space="preserve"> </w:t>
      </w:r>
      <w:r>
        <w:t xml:space="preserve">Carlos</w:t>
      </w:r>
      <w:r>
        <w:t xml:space="preserve"> </w:t>
      </w:r>
      <w:r>
        <w:t xml:space="preserve">Mayor</w:t>
      </w:r>
      <w:r>
        <w:rPr>
          <w:vertAlign w:val="superscript"/>
        </w:rPr>
        <w:t xml:space="preserve">5</w:t>
      </w:r>
      <w:r>
        <w:t xml:space="preserve">,</w:t>
      </w:r>
      <w:r>
        <w:t xml:space="preserve"> </w:t>
      </w:r>
      <w:r>
        <w:t xml:space="preserve">Marc</w:t>
      </w:r>
      <w:r>
        <w:t xml:space="preserve"> </w:t>
      </w:r>
      <w:r>
        <w:t xml:space="preserve">Taconet</w:t>
      </w:r>
      <w:r>
        <w:rPr>
          <w:vertAlign w:val="superscript"/>
        </w:rPr>
        <w:t xml:space="preserve">2</w:t>
      </w:r>
      <w:r>
        <w:t xml:space="preserve">,</w:t>
      </w:r>
      <w:r>
        <w:t xml:space="preserve"> </w:t>
      </w:r>
      <w:r>
        <w:t xml:space="preserve">Fabio</w:t>
      </w:r>
      <w:r>
        <w:t xml:space="preserve"> </w:t>
      </w:r>
      <w:r>
        <w:t xml:space="preserve">Fiorellato</w:t>
      </w:r>
      <w:r>
        <w:rPr>
          <w:vertAlign w:val="superscript"/>
        </w:rPr>
        <w:t xml:space="preserve">1,2</w:t>
      </w:r>
      <w:r>
        <w:t xml:space="preserve">,</w:t>
      </w:r>
      <w:r>
        <w:t xml:space="preserve"> </w:t>
      </w:r>
      <w:r>
        <w:t xml:space="preserve">Bastien</w:t>
      </w:r>
      <w:r>
        <w:t xml:space="preserve"> </w:t>
      </w:r>
      <w:r>
        <w:t xml:space="preserve">Grasset</w:t>
      </w:r>
      <w:r>
        <w:rPr>
          <w:vertAlign w:val="superscript"/>
        </w:rPr>
        <w:t xml:space="preserve">8</w:t>
      </w:r>
      <w:r>
        <w:t xml:space="preserve">,</w:t>
      </w:r>
      <w:r>
        <w:t xml:space="preserve"> </w:t>
      </w:r>
      <w:r>
        <w:t xml:space="preserve">and</w:t>
      </w:r>
      <w:r>
        <w:t xml:space="preserve"> </w:t>
      </w:r>
      <w:r>
        <w:t xml:space="preserve">Julien</w:t>
      </w:r>
      <w:r>
        <w:t xml:space="preserve"> </w:t>
      </w:r>
      <w:r>
        <w:t xml:space="preserve">Barde</w:t>
      </w:r>
      <w:r>
        <w:rPr>
          <w:vertAlign w:val="superscript"/>
        </w:rPr>
        <w:t xml:space="preserve">8</w:t>
      </w:r>
    </w:p>
    <w:p>
      <w:pPr>
        <w:sectPr w:officer="true">
          <w:headerReference w:type="default" r:id="rId25"/>
          <w:headerReference w:type="even" r:id="rId26"/>
          <w:headerReference w:type="first" r:id="rId27"/>
          <w:cols/>
          <w:titlePg/>
          <w:pgSz w:code="1" w:h="15840" w:w="12240"/>
          <w:pgMar w:bottom="709" w:footer="567" w:gutter="0" w:header="284" w:left="709" w:right="1418" w:top="204"/>
        </w:sectPr>
      </w:pPr>
    </w:p>
    <w:bookmarkStart w:id="21" w:name="affiliations"/>
    <w:p>
      <w:pPr>
        <w:pStyle w:val="Heading1"/>
      </w:pPr>
      <w:r>
        <w:t xml:space="preserve">Affiliations</w:t>
      </w:r>
    </w:p>
    <w:p>
      <w:pPr>
        <w:numPr>
          <w:ilvl w:val="0"/>
          <w:numId w:val="1001"/>
        </w:numPr>
      </w:pPr>
      <w:r>
        <w:t xml:space="preserve">Indian Ocean Tuna Commission (IOTC)</w:t>
      </w:r>
    </w:p>
    <w:p>
      <w:pPr>
        <w:numPr>
          <w:ilvl w:val="0"/>
          <w:numId w:val="1001"/>
        </w:numPr>
      </w:pPr>
      <w:r>
        <w:t xml:space="preserve">Food and Agriculture Organisation of the United Nations (FAO)</w:t>
      </w:r>
    </w:p>
    <w:p>
      <w:pPr>
        <w:numPr>
          <w:ilvl w:val="0"/>
          <w:numId w:val="1001"/>
        </w:numPr>
      </w:pPr>
      <w:r>
        <w:t xml:space="preserve">Secretariat of the Pacific Community (SPC)</w:t>
      </w:r>
    </w:p>
    <w:p>
      <w:pPr>
        <w:numPr>
          <w:ilvl w:val="0"/>
          <w:numId w:val="1001"/>
        </w:numPr>
      </w:pPr>
      <w:r>
        <w:t xml:space="preserve">Inter-American Tropical Tuna Commission (IATTC)</w:t>
      </w:r>
    </w:p>
    <w:p>
      <w:pPr>
        <w:numPr>
          <w:ilvl w:val="0"/>
          <w:numId w:val="1001"/>
        </w:numPr>
      </w:pPr>
      <w:r>
        <w:t xml:space="preserve">International Commission for the Conservation of Atlantic Tunas (ICCAT)</w:t>
      </w:r>
    </w:p>
    <w:p>
      <w:pPr>
        <w:numPr>
          <w:ilvl w:val="0"/>
          <w:numId w:val="1001"/>
        </w:numPr>
      </w:pPr>
      <w:r>
        <w:t xml:space="preserve">Commission for the Conservation of Southern Bluefin Tuna (CCSBT)</w:t>
      </w:r>
    </w:p>
    <w:p>
      <w:pPr>
        <w:numPr>
          <w:ilvl w:val="0"/>
          <w:numId w:val="1001"/>
        </w:numPr>
      </w:pPr>
      <w:r>
        <w:t xml:space="preserve">Western and Central Pacific Fisheries Commission (WCPFC)</w:t>
      </w:r>
    </w:p>
    <w:p>
      <w:pPr>
        <w:numPr>
          <w:ilvl w:val="0"/>
          <w:numId w:val="1001"/>
        </w:numPr>
      </w:pPr>
      <w:r>
        <w:t xml:space="preserve">French national Research Institute for Sustainable Development (IRD)</w:t>
      </w:r>
    </w:p>
    <w:p>
      <w:pPr>
        <w:pStyle w:val="FirstParagraph"/>
      </w:pPr>
      <m:oMath>
        <m:sSup>
          <m:e>
            <m:r>
              <m:t>​</m:t>
            </m:r>
          </m:e>
          <m:sup>
            <m:r>
              <m:rPr>
                <m:sty m:val="p"/>
              </m:rPr>
              <m:t>†</m:t>
            </m:r>
          </m:sup>
        </m:sSup>
      </m:oMath>
      <w:r>
        <w:t xml:space="preserve"> </w:t>
      </w:r>
      <w:r>
        <w:t xml:space="preserve">Corresponding author:</w:t>
      </w:r>
      <w:r>
        <w:t xml:space="preserve"> </w:t>
      </w:r>
      <w:hyperlink r:id="rId20">
        <w:r>
          <w:rPr>
            <w:rStyle w:val="Hyperlink"/>
          </w:rPr>
          <w:t xml:space="preserve">Emmanuel.Blondel@fao.org</w:t>
        </w:r>
      </w:hyperlink>
    </w:p>
    <w:bookmarkEnd w:id="21"/>
    <w:bookmarkStart w:id="22" w:name="abstract"/>
    <w:p>
      <w:pPr>
        <w:pStyle w:val="Heading1"/>
      </w:pPr>
      <w:r>
        <w:t xml:space="preserve">Abstract</w:t>
      </w:r>
    </w:p>
    <w:p>
      <w:pPr>
        <w:pStyle w:val="FirstParagraph"/>
      </w:pPr>
      <w:r>
        <w:t xml:space="preserve">We built the most complete global data set of annual catches of tunas and tuna-like species and pelagic sharks and rays for the period 1950-2021 by compiling public domain data available from the five tuna Regional Fisheries Management Organisations: the Commission for the Conservation of Southern Bluefin Tuna (CCSBT), the Inter-American Tropical Tuna Commission (IATTC), the International Commission for the Conservation of Atlantic Tunas (ICCAT), the Indian Ocean Tuna Commission (IOTC), and the Western and Central Pacific Fisheries Commission (WCPFC).</w:t>
      </w:r>
    </w:p>
    <w:p>
      <w:pPr>
        <w:pStyle w:val="BodyText"/>
      </w:pPr>
      <w:r>
        <w:t xml:space="preserve">The data set covers medium- and large-sized pelagic species monitored by the five t-RFMOs and occurring in both neritic and oceanic habitats over the world oceans, including tunas, billfish, bonitos, Spanish mackerels, and wahoo, which belong to the Scombridae, Istiophoridae, and Xiphiidae families. In addition, catches reported for several pelagic sharks and rays that may be targeted or incidentally caught in tuna and tuna-like fisheries are included in the data set.</w:t>
      </w:r>
    </w:p>
    <w:bookmarkEnd w:id="22"/>
    <w:bookmarkStart w:id="23" w:name="background-and-summary"/>
    <w:p>
      <w:pPr>
        <w:pStyle w:val="Heading1"/>
      </w:pPr>
      <w:r>
        <w:t xml:space="preserve">Background and summary</w:t>
      </w:r>
    </w:p>
    <w:p>
      <w:pPr>
        <w:pStyle w:val="FirstParagraph"/>
      </w:pPr>
      <w:r>
        <w:rPr>
          <w:iCs/>
          <w:i/>
        </w:rP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w:t>
      </w:r>
    </w:p>
    <w:bookmarkEnd w:id="23"/>
    <w:bookmarkStart w:id="25" w:name="methods"/>
    <w:p>
      <w:pPr>
        <w:pStyle w:val="Heading1"/>
      </w:pPr>
      <w:r>
        <w:t xml:space="preserve">Methods</w:t>
      </w:r>
    </w:p>
    <w:p>
      <w:pPr>
        <w:pStyle w:val="FirstParagraph"/>
      </w:pPr>
      <w:r>
        <w:rPr>
          <w:iCs/>
          <w:i/>
        </w:rPr>
        <w:t xml:space="preserve">The Methods should include detailed text describing any steps or procedures used in producing the data, including full descriptions of the experimental design, data acquisition and any computational processing. See</w:t>
      </w:r>
      <w:r>
        <w:rPr>
          <w:iCs/>
          <w:i/>
        </w:rPr>
        <w:t xml:space="preserve"> </w:t>
      </w:r>
      <w:hyperlink r:id="rId24">
        <w:r>
          <w:rPr>
            <w:rStyle w:val="Hyperlink"/>
            <w:iCs/>
            <w:i/>
          </w:rPr>
          <w:t xml:space="preserve">the detailed section in our submission guidelines</w:t>
        </w:r>
      </w:hyperlink>
      <w:r>
        <w:rPr>
          <w:iCs/>
          <w:i/>
        </w:rPr>
        <w:t xml:space="preserve"> </w:t>
      </w:r>
      <w:r>
        <w:rPr>
          <w:iCs/>
          <w:i/>
        </w:rPr>
        <w:t xml:space="preserve">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r>
        <w:rPr>
          <w:iCs/>
          <w:i/>
        </w:rPr>
        <w:t xml:space="preserve"> </w:t>
      </w:r>
      <w:r>
        <w:rPr>
          <w:iCs/>
          <w:i/>
        </w:rPr>
        <w:t xml:space="preserve">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bookmarkEnd w:id="25"/>
    <w:bookmarkStart w:id="26" w:name="data-records"/>
    <w:p>
      <w:pPr>
        <w:pStyle w:val="Heading1"/>
      </w:pPr>
      <w:r>
        <w:t xml:space="preserve">Data Records</w:t>
      </w:r>
    </w:p>
    <w:p>
      <w:pPr>
        <w:pStyle w:val="FirstParagraph"/>
      </w:pPr>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pPr>
        <w:pStyle w:val="BodyText"/>
      </w:pPr>
      <w:r>
        <w:t xml:space="preserve">Tables can be used to support the data records, specifying the data output resulting from each data-collection or analytical step and the names of the corresponding files should these form part of the archived record.</w:t>
      </w:r>
    </w:p>
    <w:bookmarkEnd w:id="26"/>
    <w:bookmarkStart w:id="27" w:name="technical-validation"/>
    <w:p>
      <w:pPr>
        <w:pStyle w:val="Heading1"/>
      </w:pPr>
      <w:r>
        <w:t xml:space="preserve">Technical validation</w:t>
      </w:r>
    </w:p>
    <w:p>
      <w:pPr>
        <w:pStyle w:val="FirstParagraph"/>
      </w:pPr>
      <w:r>
        <w:t xml:space="preserve">The Technical Validation section should present any experiments or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w:t>
      </w:r>
    </w:p>
    <w:p>
      <w:pPr>
        <w:pStyle w:val="BodyText"/>
      </w:pPr>
      <w:r>
        <w:t xml:space="preserve">Possible content</w:t>
      </w:r>
      <w:r>
        <w:t xml:space="preserve"> </w:t>
      </w:r>
      <w:r>
        <w:rPr>
          <w:bCs/>
          <w:b/>
        </w:rPr>
        <w:t xml:space="preserve">may include</w:t>
      </w:r>
      <w:r>
        <w:t xml:space="preserv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phenotypic or genotypic assessments of biological samples (e.g. confirming disease status, cell line identity, or the success of perturbations)</w:t>
      </w:r>
    </w:p>
    <w:p>
      <w:pPr>
        <w:numPr>
          <w:ilvl w:val="0"/>
          <w:numId w:val="1002"/>
        </w:numPr>
        <w:pStyle w:val="Compact"/>
      </w:pPr>
      <w:r>
        <w:t xml:space="preserve">general discussions of any procedures used to ensure reliable and unbiased data production, such as blinding and randomization, sample tracking systems, etc.</w:t>
      </w:r>
    </w:p>
    <w:p>
      <w:pPr>
        <w:numPr>
          <w:ilvl w:val="0"/>
          <w:numId w:val="1002"/>
        </w:numPr>
        <w:pStyle w:val="Compact"/>
      </w:pPr>
      <w:r>
        <w:t xml:space="preserve">any other information needed for assessment of technical rigour by the referees</w:t>
      </w:r>
    </w:p>
    <w:p>
      <w:pPr>
        <w:pStyle w:val="FirstParagraph"/>
      </w:pPr>
      <w:r>
        <w:t xml:space="preserve">Generally, this</w:t>
      </w:r>
      <w:r>
        <w:t xml:space="preserve"> </w:t>
      </w:r>
      <w:r>
        <w:rPr>
          <w:bCs/>
          <w:b/>
        </w:rPr>
        <w:t xml:space="preserve">should not include</w:t>
      </w:r>
      <w:r>
        <w:t xml:space="preserve">:</w:t>
      </w:r>
      <w:r>
        <w:t xml:space="preserve"> </w:t>
      </w:r>
      <w:r>
        <w:t xml:space="preserve">- follow-up experiments aimed at testing or supporting an interpretation of the data</w:t>
      </w:r>
      <w:r>
        <w:t xml:space="preserve"> </w:t>
      </w:r>
      <w:r>
        <w:t xml:space="preserve">- statistical hypothesis testing</w:t>
      </w:r>
      <w:r>
        <w:t xml:space="preserve"> </w:t>
      </w:r>
      <w:r>
        <w:t xml:space="preserve">- exploratory computational analyses</w:t>
      </w:r>
    </w:p>
    <w:bookmarkEnd w:id="27"/>
    <w:bookmarkStart w:id="28" w:name="usage-notes"/>
    <w:p>
      <w:pPr>
        <w:pStyle w:val="Heading1"/>
      </w:pPr>
      <w:r>
        <w:t xml:space="preserve">Usage notes</w:t>
      </w:r>
    </w:p>
    <w:p>
      <w:pPr>
        <w:pStyle w:val="FirstParagraph"/>
      </w:pPr>
      <w:r>
        <w:rPr>
          <w:iCs/>
          <w:i/>
        </w:rPr>
        <w:t xml:space="preserve">This section is optional</w:t>
      </w:r>
    </w:p>
    <w:p>
      <w:pPr>
        <w:pStyle w:val="BodyTex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code availability policy for advice on supplying custom code alongside Data Descriptor manuscripts.</w:t>
      </w:r>
      <w:r>
        <w:t xml:space="preserve"> </w:t>
      </w: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28"/>
    <w:bookmarkStart w:id="29" w:name="code-availability"/>
    <w:p>
      <w:pPr>
        <w:pStyle w:val="Heading1"/>
      </w:pPr>
      <w:r>
        <w:t xml:space="preserve">Code availability</w:t>
      </w:r>
    </w:p>
    <w:p>
      <w:pPr>
        <w:pStyle w:val="FirstParagraph"/>
      </w:pPr>
      <w:r>
        <w:t xml:space="preserve">For all studies using custom code in the generation or processing of datasets, a statement must be included under the subheading</w:t>
      </w:r>
      <w:r>
        <w:t xml:space="preserve"> </w:t>
      </w:r>
      <w:r>
        <w:t xml:space="preserve">“</w:t>
      </w:r>
      <w:r>
        <w:t xml:space="preserve">Code availability</w:t>
      </w:r>
      <w:r>
        <w:t xml:space="preserve">”</w:t>
      </w:r>
      <w:r>
        <w:t xml:space="preserve">, indicating whether and how the code can be accessed, including any restrictions to access. This section should also include information on the versions of any software used, if relevant, and any specific variables or parameters used to generate, test, or process the current dataset.</w:t>
      </w:r>
    </w:p>
    <w:bookmarkEnd w:id="29"/>
    <w:bookmarkStart w:id="30" w:name="acknowledgments"/>
    <w:p>
      <w:pPr>
        <w:pStyle w:val="Heading1"/>
      </w:pPr>
      <w:r>
        <w:t xml:space="preserve">Acknowledgments</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30"/>
    <w:bookmarkStart w:id="31" w:name="author-contributions"/>
    <w:p>
      <w:pPr>
        <w:pStyle w:val="Heading1"/>
      </w:pPr>
      <w:r>
        <w:t xml:space="preserve">Author contributions</w:t>
      </w:r>
    </w:p>
    <w:p>
      <w:pPr>
        <w:pStyle w:val="FirstParagraph"/>
      </w:pPr>
      <w:r>
        <w:t xml:space="preserve">Each author’s contribution to the work should be described briefly, on a separate line, in the Author Contributions section.</w:t>
      </w:r>
    </w:p>
    <w:bookmarkEnd w:id="31"/>
    <w:bookmarkStart w:id="32" w:name="competing-interests"/>
    <w:p>
      <w:pPr>
        <w:pStyle w:val="Heading1"/>
      </w:pPr>
      <w:r>
        <w:t xml:space="preserve">Competing interests</w:t>
      </w:r>
    </w:p>
    <w:p>
      <w:pPr>
        <w:pStyle w:val="FirstParagraph"/>
      </w:pPr>
      <w:r>
        <w:t xml:space="preserve">A competing interests statement is required for all papers accepted by and published in Scientific Data. If there is no conflict of interest, a statement declaring this must still be included in the manuscript.</w:t>
      </w:r>
    </w:p>
    <w:bookmarkEnd w:id="32"/>
    <w:bookmarkStart w:id="33" w:name="figures"/>
    <w:p>
      <w:pPr>
        <w:pStyle w:val="Heading1"/>
      </w:pPr>
      <w:r>
        <w:t xml:space="preserve">Figures</w:t>
      </w:r>
    </w:p>
    <w:p>
      <w:pPr>
        <w:pStyle w:val="FirstParagraph"/>
      </w:pPr>
      <w:r>
        <w:t xml:space="preserve">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pPr>
        <w:pStyle w:val="BodyText"/>
      </w:pPr>
      <w:r>
        <w:t xml:space="preserve">For initial submissions, authors may choose to supply a single PDF with embedded figures. You will later be asked for separate files closer to publication.</w:t>
      </w:r>
    </w:p>
    <w:p>
      <w:pPr>
        <w:pStyle w:val="BodyText"/>
      </w:pPr>
      <w:r>
        <w:t xml:space="preserve">Authors are encouraged to consider creating a figure that outlines the experimental workflow(s) used to generate and analyse the data output(s).</w:t>
      </w:r>
    </w:p>
    <w:bookmarkEnd w:id="33"/>
    <w:bookmarkStart w:id="34" w:name="figure-legends"/>
    <w:p>
      <w:pPr>
        <w:pStyle w:val="Heading1"/>
      </w:pPr>
      <w:r>
        <w:t xml:space="preserve">Figure legends</w:t>
      </w:r>
    </w:p>
    <w:p>
      <w:pPr>
        <w:pStyle w:val="FirstParagraph"/>
      </w:pPr>
      <w:r>
        <w:t xml:space="preserve">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bookmarkEnd w:id="34"/>
    <w:bookmarkStart w:id="35" w:name="tables"/>
    <w:p>
      <w:pPr>
        <w:pStyle w:val="Heading1"/>
      </w:pPr>
      <w:r>
        <w:t xml:space="preserve">Tables</w:t>
      </w:r>
    </w:p>
    <w:p>
      <w:pPr>
        <w:pStyle w:val="FirstParagraph"/>
      </w:pPr>
      <w:r>
        <w:t xml:space="preserve">Tables in the manuscript should generally not be used to present primary data (i.e. measurements). Tables containing primary data should be submitted to an appropriate data repository.</w:t>
      </w:r>
    </w:p>
    <w:p>
      <w:pPr>
        <w:pStyle w:val="BodyText"/>
      </w:pPr>
      <w:r>
        <w:t xml:space="preserve">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pPr>
        <w:pStyle w:val="BodyText"/>
      </w:pPr>
      <w:r>
        <w:t xml:space="preserve">Due to typesetting constraints, tables that cannot be fit onto a single A4 page cannot be included in the PDF version of the article and will be hosted as Supplementary Tables. Any such tables must be labelled in the text as</w:t>
      </w:r>
      <w:r>
        <w:t xml:space="preserve"> </w:t>
      </w:r>
      <w:r>
        <w:t xml:space="preserve">‘</w:t>
      </w:r>
      <w:r>
        <w:t xml:space="preserve">Supplementary</w:t>
      </w:r>
      <w:r>
        <w:t xml:space="preserve">’</w:t>
      </w:r>
      <w:r>
        <w:t xml:space="preserve"> </w:t>
      </w:r>
      <w:r>
        <w:t xml:space="preserve">tables and numbered separately from the main table list e.g. </w:t>
      </w:r>
      <w:r>
        <w:t xml:space="preserve">‘</w:t>
      </w:r>
      <w:r>
        <w:t xml:space="preserve">Table 1, Table 2, Supplementary Table 1</w:t>
      </w:r>
      <w:r>
        <w:t xml:space="preserve">’</w:t>
      </w:r>
      <w:r>
        <w:t xml:space="preserve"> </w:t>
      </w:r>
      <w:r>
        <w:t xml:space="preserve">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bookmarkEnd w:id="35"/>
    <w:bookmarkStart w:id="37" w:name="references"/>
    <w:p>
      <w:pPr>
        <w:pStyle w:val="Heading1"/>
      </w:pPr>
      <w:r>
        <w:t xml:space="preserve">References</w:t>
      </w:r>
    </w:p>
    <w:bookmarkStart w:id="36" w:name="refs"/>
    <w:bookmarkEnd w:id="36"/>
    <w:bookmarkEnd w:id="37"/>
    <w:sectPr w:rsidR="00947F64" w:rsidSect="00793864">
      <w:headerReference r:id="rId9" w:type="default"/>
      <w:footerReference r:id="rId14" w:type="default"/>
      <w:headerReference r:id="rId10" w:type="first"/>
      <w:footerReference r:id="rId12" w:type="first"/>
      <w:type w:val="continuous"/>
      <w:pgSz w:code="1" w:h="15840" w:w="12240"/>
      <w:pgMar w:bottom="709" w:footer="567" w:gutter="0" w:header="284" w:left="709" w:right="1418" w:top="204"/>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163194"/>
      <w:docPartObj>
        <w:docPartGallery w:val="Page Numbers (Bottom of Page)"/>
        <w:docPartUnique/>
      </w:docPartObj>
    </w:sdtPr>
    <w:sdtEndPr>
      <w:rPr>
        <w:noProof/>
      </w:rPr>
    </w:sdtEndPr>
    <w:sdtContent>
      <w:p w14:paraId="5CA5048F" w14:textId="2EF40A57" w:rsidR="00801142" w:rsidRDefault="00AF497C" w:rsidP="00DF7330">
        <w:pPr>
          <w:pStyle w:val="Footer"/>
          <w:jc w:val="center"/>
          <w:rPr>
            <w:noProof/>
          </w:rPr>
        </w:pPr>
        <w:r>
          <w:t xml:space="preserve">Page </w:t>
        </w:r>
        <w:r w:rsidRPr="007A2B9A">
          <w:fldChar w:fldCharType="begin"/>
        </w:r>
        <w:r w:rsidRPr="007A2B9A">
          <w:instrText xml:space="preserve"> PAGE   \* MERGEFORMAT </w:instrText>
        </w:r>
        <w:r w:rsidRPr="007A2B9A">
          <w:fldChar w:fldCharType="separate"/>
        </w:r>
        <w:r>
          <w:t>1</w:t>
        </w:r>
        <w:r w:rsidRPr="007A2B9A">
          <w:rPr>
            <w:noProof/>
          </w:rPr>
          <w:fldChar w:fldCharType="end"/>
        </w:r>
        <w:r w:rsidRPr="007A2B9A">
          <w:rPr>
            <w:noProof/>
          </w:rPr>
          <w:t xml:space="preserve"> </w:t>
        </w:r>
        <w:r>
          <w:rPr>
            <w:noProof/>
          </w:rPr>
          <w:t xml:space="preserve">of </w:t>
        </w:r>
        <w:r w:rsidRPr="007A2B9A">
          <w:rPr>
            <w:noProof/>
          </w:rPr>
          <w:fldChar w:fldCharType="begin"/>
        </w:r>
        <w:r w:rsidRPr="007A2B9A">
          <w:rPr>
            <w:noProof/>
          </w:rPr>
          <w:instrText xml:space="preserve"> NUMPAGES   \* MERGEFORMAT </w:instrText>
        </w:r>
        <w:r w:rsidRPr="007A2B9A">
          <w:rPr>
            <w:noProof/>
          </w:rPr>
          <w:fldChar w:fldCharType="separate"/>
        </w:r>
        <w:r>
          <w:rPr>
            <w:noProof/>
          </w:rPr>
          <w:t>3</w:t>
        </w:r>
        <w:r w:rsidRPr="007A2B9A">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463997"/>
      <w:docPartObj>
        <w:docPartGallery w:val="Page Numbers (Bottom of Page)"/>
        <w:docPartUnique/>
      </w:docPartObj>
    </w:sdtPr>
    <w:sdtEndPr>
      <w:rPr>
        <w:noProof/>
      </w:rPr>
    </w:sdtEndPr>
    <w:sdtContent>
      <w:p w14:paraId="2D57832A" w14:textId="77777777" w:rsidR="008B37F9" w:rsidRDefault="008B37F9" w:rsidP="008B37F9">
        <w:pPr>
          <w:pStyle w:val="Footer"/>
          <w:pBdr>
            <w:top w:val="single" w:sz="4" w:space="1" w:color="auto"/>
          </w:pBdr>
          <w:spacing w:before="240"/>
          <w:jc w:val="center"/>
          <w:rPr>
            <w:noProof/>
          </w:rPr>
        </w:pPr>
        <w:r>
          <w:t xml:space="preserve">Page </w:t>
        </w:r>
        <w:r w:rsidRPr="007A2B9A">
          <w:rPr>
            <w:b/>
            <w:bCs/>
          </w:rPr>
          <w:fldChar w:fldCharType="begin"/>
        </w:r>
        <w:r w:rsidRPr="007A2B9A">
          <w:rPr>
            <w:b/>
            <w:bCs/>
          </w:rPr>
          <w:instrText xml:space="preserve"> PAGE   \* MERGEFORMAT </w:instrText>
        </w:r>
        <w:r w:rsidRPr="007A2B9A">
          <w:rPr>
            <w:b/>
            <w:bCs/>
          </w:rPr>
          <w:fldChar w:fldCharType="separate"/>
        </w:r>
        <w:r>
          <w:rPr>
            <w:b/>
            <w:bCs/>
          </w:rPr>
          <w:t>1</w:t>
        </w:r>
        <w:r w:rsidRPr="007A2B9A">
          <w:rPr>
            <w:b/>
            <w:bCs/>
            <w:noProof/>
          </w:rPr>
          <w:fldChar w:fldCharType="end"/>
        </w:r>
        <w:r w:rsidRPr="007A2B9A">
          <w:rPr>
            <w:b/>
            <w:bCs/>
            <w:noProof/>
          </w:rPr>
          <w:t xml:space="preserve"> </w:t>
        </w:r>
        <w:r>
          <w:rPr>
            <w:noProof/>
          </w:rPr>
          <w:t xml:space="preserve">of </w:t>
        </w:r>
        <w:r w:rsidRPr="007A2B9A">
          <w:rPr>
            <w:b/>
            <w:bCs/>
            <w:noProof/>
          </w:rPr>
          <w:fldChar w:fldCharType="begin"/>
        </w:r>
        <w:r w:rsidRPr="007A2B9A">
          <w:rPr>
            <w:b/>
            <w:bCs/>
            <w:noProof/>
          </w:rPr>
          <w:instrText xml:space="preserve"> NUMPAGES   \* MERGEFORMAT </w:instrText>
        </w:r>
        <w:r w:rsidRPr="007A2B9A">
          <w:rPr>
            <w:b/>
            <w:bCs/>
            <w:noProof/>
          </w:rPr>
          <w:fldChar w:fldCharType="separate"/>
        </w:r>
        <w:r>
          <w:rPr>
            <w:b/>
            <w:bCs/>
            <w:noProof/>
          </w:rPr>
          <w:t>3</w:t>
        </w:r>
        <w:r w:rsidRPr="007A2B9A">
          <w:rPr>
            <w:b/>
            <w:bCs/>
            <w:noProof/>
          </w:rPr>
          <w:fldChar w:fldCharType="end"/>
        </w:r>
      </w:p>
    </w:sdtContent>
  </w:sdt>
  <w:p w14:paraId="5ACA5596" w14:textId="77777777" w:rsidR="00A140DB" w:rsidRDefault="00A140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EndPr>
      <w:rPr>
        <w:rStyle w:val="PageNumber"/>
      </w:rPr>
    </w:sdtEndPr>
    <w:sdtContent>
      <w:p w14:paraId="3D1EC268" w14:textId="77777777" w:rsidR="00676DF8" w:rsidRDefault="00BA0744"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63E75">
          <w:rPr>
            <w:rStyle w:val="PageNumber"/>
            <w:noProof/>
          </w:rPr>
          <w:t>12</w:t>
        </w:r>
        <w:r>
          <w:rPr>
            <w:rStyle w:val="PageNumber"/>
          </w:rPr>
          <w:fldChar w:fldCharType="end"/>
        </w:r>
      </w:p>
    </w:sdtContent>
  </w:sdt>
  <w:p w14:paraId="6014DB3B" w14:textId="77777777" w:rsidR="00676DF8" w:rsidRDefault="00BA0744" w:rsidP="00676DF8">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EndPr>
      <w:rPr>
        <w:rStyle w:val="PageNumber"/>
      </w:rPr>
    </w:sdtEndPr>
    <w:sdtContent>
      <w:p w14:paraId="6A8BF2B4" w14:textId="77777777" w:rsidR="00084E93" w:rsidRDefault="00BA0744"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EADCC7" w14:textId="77777777" w:rsidR="00676DF8" w:rsidRDefault="00BA0744"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804" w14:textId="65CAC6D0" w:rsidR="00E358B3" w:rsidRDefault="00E358B3">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A430" w14:textId="0AF2FEEB" w:rsidR="00071608" w:rsidRDefault="00071608">
    <w:pPr>
      <w:pStyle w:val="Header"/>
    </w:pPr>
    <w:r>
      <w:rPr>
        <w:noProof/>
      </w:rPr>
      <w:drawing>
        <wp:inline distT="0" distB="0" distL="0" distR="0" wp14:anchorId="78675363" wp14:editId="6EB7598A">
          <wp:extent cx="6572250" cy="646430"/>
          <wp:effectExtent l="0" t="0" r="0" b="127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0" cy="646430"/>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Normal"/>
      <w:jc w:val="right"/>
      <w:pBdr>
        <w:bottom w:val="single" w:sz="8" w:space="0" w:color="000000"/>
        <w:top w:val="none" w:sz="0" w:space="0" w:color="000000"/>
        <w:left w:val="none" w:sz="0" w:space="0" w:color="000000"/>
        <w:right w:val="none" w:sz="0" w:space="0" w:color="000000"/>
      </w:pBdr>
      <w:spacing w:after="0" w:before="0" w:line="240"/>
      <w:ind w:left="0" w:right="0" w:firstLine="0" w:firstLineChars="0"/>
    </w:pPr>
    <w:r>
      <w:rPr>
        <w:rFonts/>
        <w:b w:val="false"/>
        <w:color w:val="000000"/>
      </w:rPr>
      <w:t xml:space="preserve">Global tuna catches | Data paper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Normal"/>
      <w:jc w:val="left"/>
      <w:pBdr>
        <w:bottom w:val="single" w:sz="8" w:space="0" w:color="000000"/>
        <w:top w:val="none" w:sz="0" w:space="0" w:color="000000"/>
        <w:left w:val="none" w:sz="0" w:space="0" w:color="000000"/>
        <w:right w:val="none" w:sz="0" w:space="0" w:color="000000"/>
      </w:pBdr>
      <w:spacing w:after="0" w:before="0" w:line="240"/>
      <w:ind w:left="0" w:right="0" w:firstLine="0" w:firstLineChars="0"/>
    </w:pPr>
    <w:r>
      <w:rPr>
        <w:rFonts/>
        <w:b w:val="false"/>
        <w:color w:val="000000"/>
      </w:rPr>
      <w:t xml:space="preserve">Global tuna catches | Data paper draft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Normal"/>
      <w:jc w:val="right"/>
      <w:pBdr>
        <w:bottom w:val="single" w:sz="8" w:space="0" w:color="000000"/>
        <w:top w:val="none" w:sz="0" w:space="0" w:color="000000"/>
        <w:left w:val="none" w:sz="0" w:space="0" w:color="000000"/>
        <w:right w:val="none" w:sz="0" w:space="0" w:color="000000"/>
      </w:pBdr>
      <w:spacing w:after="0" w:before="0" w:line="240"/>
      <w:ind w:left="0" w:right="0" w:firstLine="0" w:firstLineChars="0"/>
    </w:pPr>
    <w:r>
      <w:rPr>
        <w:rFonts/>
        <w:b w:val="false"/>
        <w:color w:val="000000"/>
      </w:rPr>
      <w:t xml:space="preserve">Global tuna catches | Data paper draft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CCA8EC7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00A99411"/>
    <w:multiLevelType w:val="multilevel"/>
    <w:tmpl w:val="680E6E3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4">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39315709" w:numId="1">
    <w:abstractNumId w:val="4"/>
  </w:num>
  <w:num w16cid:durableId="1375154319" w:numId="2">
    <w:abstractNumId w:val="2"/>
  </w:num>
  <w:num w16cid:durableId="489449184" w:numId="3">
    <w:abstractNumId w:val="3"/>
  </w:num>
  <w:num w16cid:durableId="1156385274" w:numId="4">
    <w:abstractNumId w:val="0"/>
  </w:num>
  <w:num w16cid:durableId="572469597" w:numId="5">
    <w:abstractNumId w:val="0"/>
  </w:num>
  <w:num w16cid:durableId="756444102" w:numId="6">
    <w:abstractNumId w:val="0"/>
  </w:num>
  <w:num w16cid:durableId="1923025214"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28529006"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8363235"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83435433" w:numId="10">
    <w:abstractNumId w:val="0"/>
  </w:num>
  <w:num w16cid:durableId="2116052104" w:numId="11">
    <w:abstractNumId w:val="0"/>
  </w:num>
  <w:num w16cid:durableId="1602687159" w:numId="1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w="http://schemas.openxmlformats.org/wordprocessingml/2006/main">
  <w:zoom w:percent="120"/>
  <w:defaultTabStop w:val="720"/>
  <w:hyphenationZone w:val="425"/>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qFormat="1"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62209"/>
    <w:rPr>
      <w:rFonts w:ascii="Calibri" w:hAnsi="Calibri"/>
      <w:lang w:val="en-GB"/>
    </w:rPr>
  </w:style>
  <w:style w:styleId="Heading1" w:type="paragraph">
    <w:name w:val="heading 1"/>
    <w:basedOn w:val="Normal"/>
    <w:next w:val="BodyText"/>
    <w:uiPriority w:val="9"/>
    <w:qFormat/>
    <w:rsid w:val="006A2C6A"/>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FE0F19"/>
    <w:pPr>
      <w:keepNext/>
      <w:keepLines/>
      <w:spacing w:after="0" w:before="200"/>
      <w:outlineLvl w:val="1"/>
    </w:pPr>
    <w:rPr>
      <w:rFonts w:asciiTheme="majorHAnsi" w:cstheme="majorBidi" w:eastAsiaTheme="majorEastAsia" w:hAnsiTheme="majorHAnsi"/>
      <w:b/>
      <w:bCs/>
      <w:color w:themeColor="text1" w:val="000000"/>
      <w:sz w:val="28"/>
      <w:szCs w:val="32"/>
    </w:rPr>
  </w:style>
  <w:style w:styleId="Heading3" w:type="paragraph">
    <w:name w:val="heading 3"/>
    <w:basedOn w:val="Normal"/>
    <w:next w:val="BodyText"/>
    <w:uiPriority w:val="9"/>
    <w:unhideWhenUsed/>
    <w:qFormat/>
    <w:rsid w:val="00FE0F19"/>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9B1367"/>
    <w:pPr>
      <w:keepNext/>
      <w:keepLines/>
      <w:spacing w:after="0" w:before="200"/>
      <w:outlineLvl w:val="3"/>
    </w:pPr>
    <w:rPr>
      <w:rFonts w:asciiTheme="majorHAnsi" w:cstheme="majorBidi" w:eastAsiaTheme="majorEastAsia" w:hAnsiTheme="majorHAnsi"/>
      <w:bCs/>
      <w:color w:themeColor="text1" w:val="000000"/>
      <w:sz w:val="22"/>
    </w:rPr>
  </w:style>
  <w:style w:styleId="Heading5" w:type="paragraph">
    <w:name w:val="heading 5"/>
    <w:basedOn w:val="Normal"/>
    <w:next w:val="BodyText"/>
    <w:uiPriority w:val="9"/>
    <w:unhideWhenUsed/>
    <w:qFormat/>
    <w:rsid w:val="009137D8"/>
    <w:pPr>
      <w:keepNext/>
      <w:keepLines/>
      <w:numPr>
        <w:ilvl w:val="4"/>
        <w:numId w:val="1"/>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1"/>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1"/>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1"/>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1"/>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55390"/>
    <w:pPr>
      <w:spacing w:after="180" w:before="180"/>
      <w:jc w:val="both"/>
    </w:pPr>
    <w:rPr>
      <w:sz w:val="22"/>
    </w:rPr>
  </w:style>
  <w:style w:customStyle="1" w:styleId="FirstParagraph" w:type="paragraph">
    <w:name w:val="First Paragraph"/>
    <w:basedOn w:val="BodyText"/>
    <w:next w:val="BodyText"/>
    <w:qFormat/>
    <w:rsid w:val="00492E40"/>
  </w:style>
  <w:style w:customStyle="1" w:styleId="Compact" w:type="paragraph">
    <w:name w:val="Compact"/>
    <w:basedOn w:val="BodyText"/>
    <w:qFormat/>
    <w:pPr>
      <w:spacing w:after="36" w:before="36"/>
    </w:pPr>
  </w:style>
  <w:style w:styleId="Title" w:type="paragraph">
    <w:name w:val="Title"/>
    <w:basedOn w:val="Normal"/>
    <w:next w:val="BodyText"/>
    <w:qFormat/>
    <w:rsid w:val="00D31628"/>
    <w:pPr>
      <w:keepNext/>
      <w:keepLines/>
      <w:spacing w:after="240" w:before="480"/>
      <w:jc w:val="center"/>
    </w:pPr>
    <w:rPr>
      <w:rFonts w:asciiTheme="majorHAnsi" w:cstheme="majorBidi" w:eastAsiaTheme="majorEastAsia" w:hAnsiTheme="majorHAnsi"/>
      <w:b/>
      <w:bCs/>
      <w:smallCaps/>
      <w:color w:themeColor="text1" w:val="000000"/>
      <w:sz w:val="36"/>
      <w:szCs w:val="36"/>
    </w:rPr>
  </w:style>
  <w:style w:styleId="Subtitle" w:type="paragraph">
    <w:name w:val="Subtitle"/>
    <w:basedOn w:val="Title"/>
    <w:next w:val="BodyText"/>
    <w:qFormat/>
    <w:rsid w:val="009137D8"/>
    <w:pPr>
      <w:spacing w:before="240"/>
    </w:pPr>
    <w:rPr>
      <w:sz w:val="30"/>
      <w:szCs w:val="30"/>
    </w:rPr>
  </w:style>
  <w:style w:customStyle="1" w:styleId="Author" w:type="paragraph">
    <w:name w:val="Author"/>
    <w:next w:val="BodyText"/>
    <w:qFormat/>
    <w:rsid w:val="00DF7330"/>
    <w:pPr>
      <w:keepNext/>
      <w:keepLines/>
      <w:jc w:val="center"/>
    </w:pPr>
    <w:rPr>
      <w:rFonts w:ascii="Calibri" w:hAnsi="Calibri"/>
    </w:rPr>
  </w:style>
  <w:style w:styleId="Date" w:type="paragraph">
    <w:name w:val="Date"/>
    <w:next w:val="BodyText"/>
    <w:qFormat/>
    <w:rsid w:val="00DF7330"/>
    <w:pPr>
      <w:keepNext/>
      <w:keepLines/>
      <w:jc w:val="center"/>
    </w:pPr>
    <w:rPr>
      <w:rFonts w:ascii="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B14228"/>
    <w:rPr>
      <w:sz w:val="22"/>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D47B4B"/>
    <w:pPr>
      <w:spacing w:after="120"/>
    </w:pPr>
  </w:style>
  <w:style w:customStyle="1" w:styleId="TableCaption" w:type="paragraph">
    <w:name w:val="Table Caption"/>
    <w:basedOn w:val="Caption"/>
    <w:rsid w:val="00A80C79"/>
    <w:rPr>
      <w:sz w:val="18"/>
    </w:rPr>
  </w:style>
  <w:style w:customStyle="1" w:styleId="ImageCaption" w:type="paragraph">
    <w:name w:val="Image Caption"/>
    <w:basedOn w:val="Caption"/>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rsid w:val="00D47B4B"/>
    <w:rPr>
      <w:rFonts w:ascii="Calibri" w:hAnsi="Calibri"/>
    </w:rPr>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rFonts w:ascii="Calibri" w:hAnsi="Calibri"/>
      <w:vertAlign w:val="superscript"/>
    </w:rPr>
  </w:style>
  <w:style w:styleId="Hyperlink" w:type="character">
    <w:name w:val="Hyperlink"/>
    <w:basedOn w:val="CaptionChar"/>
    <w:uiPriority w:val="99"/>
    <w:rsid w:val="00DF7330"/>
    <w:rPr>
      <w:rFonts w:ascii="Calibri" w:hAnsi="Calibri"/>
      <w:color w:themeColor="text2" w:themeTint="99" w:val="548DD4"/>
      <w:u w:val="single"/>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E55390"/>
    <w:rPr>
      <w:rFonts w:ascii="Calibri" w:hAnsi="Calibri"/>
      <w:sz w:val="22"/>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
      </w:numPr>
    </w:pPr>
  </w:style>
  <w:style w:customStyle="1" w:styleId="Defaultol" w:type="numbering">
    <w:name w:val="Default ol"/>
    <w:basedOn w:val="NoList"/>
    <w:uiPriority w:val="99"/>
    <w:rsid w:val="005E0C3D"/>
    <w:pPr>
      <w:numPr>
        <w:numId w:val="3"/>
      </w:numPr>
    </w:pPr>
  </w:style>
  <w:style w:styleId="Footer" w:type="paragraph">
    <w:name w:val="footer"/>
    <w:basedOn w:val="Normal"/>
    <w:link w:val="FooterChar"/>
    <w:uiPriority w:val="99"/>
    <w:unhideWhenUsed/>
    <w:qFormat/>
    <w:rsid w:val="00DF7330"/>
    <w:pPr>
      <w:tabs>
        <w:tab w:pos="4536" w:val="center"/>
        <w:tab w:pos="9072" w:val="right"/>
      </w:tabs>
      <w:spacing w:after="0"/>
    </w:pPr>
  </w:style>
  <w:style w:customStyle="1" w:styleId="FooterChar" w:type="character">
    <w:name w:val="Footer Char"/>
    <w:basedOn w:val="DefaultParagraphFont"/>
    <w:link w:val="Footer"/>
    <w:uiPriority w:val="99"/>
    <w:rsid w:val="00DF7330"/>
    <w:rPr>
      <w:rFonts w:ascii="Calibri" w:hAnsi="Calibri"/>
    </w:rPr>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DF7330"/>
    <w:pPr>
      <w:tabs>
        <w:tab w:pos="4536" w:val="center"/>
        <w:tab w:pos="9072" w:val="right"/>
      </w:tabs>
      <w:spacing w:after="0"/>
    </w:pPr>
  </w:style>
  <w:style w:customStyle="1" w:styleId="HeaderChar" w:type="character">
    <w:name w:val="Header Char"/>
    <w:basedOn w:val="DefaultParagraphFont"/>
    <w:link w:val="Header"/>
    <w:rsid w:val="00DF7330"/>
    <w:rPr>
      <w:rFonts w:ascii="Calibri" w:hAnsi="Calibri"/>
    </w:rPr>
  </w:style>
  <w:style w:customStyle="1" w:styleId="Captionlabel" w:type="paragraph">
    <w:name w:val="Caption label"/>
    <w:qFormat/>
    <w:rsid w:val="006A5DF9"/>
    <w:pPr>
      <w:jc w:val="both"/>
    </w:pPr>
    <w:rPr>
      <w:rFonts w:ascii="Calibri" w:hAnsi="Calibri"/>
      <w:sz w:val="1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TOC2" w:type="paragraph">
    <w:name w:val="toc 2"/>
    <w:basedOn w:val="Normal"/>
    <w:next w:val="Normal"/>
    <w:autoRedefine/>
    <w:uiPriority w:val="39"/>
    <w:unhideWhenUsed/>
    <w:rsid w:val="00C63E75"/>
    <w:pPr>
      <w:spacing w:after="100"/>
      <w:ind w:left="240"/>
    </w:pPr>
  </w:style>
  <w:style w:styleId="TOC3" w:type="paragraph">
    <w:name w:val="toc 3"/>
    <w:basedOn w:val="Normal"/>
    <w:next w:val="Normal"/>
    <w:autoRedefine/>
    <w:uiPriority w:val="39"/>
    <w:unhideWhenUsed/>
    <w:rsid w:val="00C63E75"/>
    <w:pPr>
      <w:spacing w:after="100"/>
      <w:ind w:left="480"/>
    </w:pPr>
  </w:style>
  <w:style w:styleId="TOC1" w:type="paragraph">
    <w:name w:val="toc 1"/>
    <w:basedOn w:val="Normal"/>
    <w:next w:val="Normal"/>
    <w:autoRedefine/>
    <w:uiPriority w:val="39"/>
    <w:unhideWhenUsed/>
    <w:rsid w:val="00C63E75"/>
    <w:pPr>
      <w:spacing w:after="100"/>
    </w:pPr>
  </w:style>
  <w:style w:styleId="TableofFigures" w:type="paragraph">
    <w:name w:val="table of figures"/>
    <w:basedOn w:val="Normal"/>
    <w:next w:val="Normal"/>
    <w:uiPriority w:val="99"/>
    <w:unhideWhenUsed/>
    <w:rsid w:val="00DF7330"/>
    <w:pPr>
      <w:spacing w:after="0"/>
    </w:pPr>
  </w:style>
  <w:style w:styleId="LineNumber" w:type="character">
    <w:name w:val="line number"/>
    <w:basedOn w:val="DefaultParagraphFont"/>
    <w:semiHidden/>
    <w:unhideWhenUsed/>
    <w:rsid w:val="00793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4.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footer" Target="footer1.xml"/>
<Relationship Id="rId20" Type="http://schemas.openxmlformats.org/officeDocument/2006/relationships/hyperlink" Target="Emmanuel.Blondel@fao.org" TargetMode="External"/>
<Relationship Id="rId24" Type="http://schemas.openxmlformats.org/officeDocument/2006/relationships/hyperlink" Target="https://www.nature.com/sdata/publish/submission-guidelines#sec-5" TargetMode="External"/>
<Relationship Id="rId25" Type="http://schemas.openxmlformats.org/officeDocument/2006/relationships/header" Target="header3.xml"/>
<Relationship Id="rId26" Type="http://schemas.openxmlformats.org/officeDocument/2006/relationships/header" Target="header4.xml"/>
<Relationship Id="rId27" Type="http://schemas.openxmlformats.org/officeDocument/2006/relationships/header" Target="header5.xml"/>
</Relationships>

</file>

<file path=word/_rels/footnotes.xml.rels><?xml version="1.0" encoding="UTF-8" standalone="yes"?>

<Relationships  xmlns="http://schemas.openxmlformats.org/package/2006/relationships">
<Relationship Id="rId20" Type="http://schemas.openxmlformats.org/officeDocument/2006/relationships/hyperlink" Target="Emmanuel.Blondel@fao.org" TargetMode="External"/>
<Relationship Id="rId24" Type="http://schemas.openxmlformats.org/officeDocument/2006/relationships/hyperlink" Target="https://www.nature.com/sdata/publish/submission-guidelines#sec-5" TargetMode="External"/>
</Relationships>

</file>

<file path=word/_rels/header2.xml.rels><?xml version="1.0" encoding="UTF-8" standalone="yes"?>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1668</Words>
  <Characters>9508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Partnering with Regional Fisheries Management Organisations to build global data sets of tuna fisheries catches</dc:title>
  <dc:creator>Emmanuel Chassot1,2, Emmanuel Blondel2,^\dagger, Peter Williams3, Nick Vogel4, Carlos Palma5, Colin Millar6, Tim Jones7, Sylvain Caillot4, Carlos Mayor5, Marc Taconet2, Fabio Fiorellato1,2, Bastien Grasset8, and Julien Barde8</dc:creator>
  <cp:keywords/>
  <dcterms:created xsi:type="dcterms:W3CDTF">2023-08-04T10:42:46Z</dcterms:created>
  <dcterms:modified xsi:type="dcterms:W3CDTF">2023-08-04T14:42:47Z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GTA.bib</vt:lpwstr>
  </property>
  <property fmtid="{D5CDD505-2E9C-101B-9397-08002B2CF9AE}" pid="3" name="csl">
    <vt:lpwstr>nature.csl</vt:lpwstr>
  </property>
  <property fmtid="{D5CDD505-2E9C-101B-9397-08002B2CF9AE}" pid="4" name="link-citations">
    <vt:lpwstr>True</vt:lpwstr>
  </property>
  <property fmtid="{D5CDD505-2E9C-101B-9397-08002B2CF9AE}" pid="5" name="output">
    <vt:lpwstr/>
  </property>
</Properties>
</file>