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B15" w:rsidRPr="001F1C38" w:rsidRDefault="00CE3B15" w:rsidP="00CE3B15">
      <w:pPr>
        <w:jc w:val="center"/>
        <w:rPr>
          <w:rFonts w:asciiTheme="majorBidi" w:hAnsiTheme="majorBidi" w:cstheme="majorBidi"/>
          <w:b/>
          <w:color w:val="000000" w:themeColor="text1"/>
          <w:sz w:val="24"/>
          <w:szCs w:val="24"/>
        </w:rPr>
      </w:pPr>
      <w:r w:rsidRPr="001F1C38">
        <w:rPr>
          <w:rFonts w:asciiTheme="majorBidi" w:hAnsiTheme="majorBidi" w:cstheme="majorBidi"/>
          <w:b/>
          <w:color w:val="000000" w:themeColor="text1"/>
          <w:sz w:val="24"/>
          <w:szCs w:val="24"/>
        </w:rPr>
        <w:t>Arrêt « Google Spain» (CJUE 13 mai 2014, C131/12) : La soumission de Google à la Directive européenne des « Données à Caractère Personnel » (95/46)</w:t>
      </w:r>
    </w:p>
    <w:p w:rsidR="00543A97" w:rsidRDefault="00543A97" w:rsidP="00543A97">
      <w:pPr>
        <w:tabs>
          <w:tab w:val="left" w:pos="8647"/>
        </w:tabs>
        <w:ind w:left="567" w:right="-142" w:hanging="567"/>
        <w:jc w:val="both"/>
        <w:rPr>
          <w:rFonts w:asciiTheme="majorBidi" w:hAnsiTheme="majorBidi" w:cstheme="majorBidi"/>
          <w:bCs/>
          <w:color w:val="000000" w:themeColor="text1"/>
          <w:sz w:val="24"/>
          <w:szCs w:val="24"/>
        </w:rPr>
      </w:pPr>
      <w:r w:rsidRPr="00543A97">
        <w:rPr>
          <w:rFonts w:asciiTheme="majorBidi" w:hAnsiTheme="majorBidi" w:cstheme="majorBidi"/>
          <w:bCs/>
          <w:color w:val="000000" w:themeColor="text1"/>
          <w:sz w:val="24"/>
          <w:szCs w:val="24"/>
        </w:rPr>
        <w:drawing>
          <wp:inline distT="0" distB="0" distL="0" distR="0">
            <wp:extent cx="5869686" cy="1316736"/>
            <wp:effectExtent l="19050" t="0" r="0" b="0"/>
            <wp:docPr id="3" name="Image 4" descr="http://www.contrepoints.org/wp-content/uploads/2012/10/google-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trepoints.org/wp-content/uploads/2012/10/google-justice.jpg"/>
                    <pic:cNvPicPr>
                      <a:picLocks noChangeAspect="1" noChangeArrowheads="1"/>
                    </pic:cNvPicPr>
                  </pic:nvPicPr>
                  <pic:blipFill>
                    <a:blip r:embed="rId7" cstate="print"/>
                    <a:srcRect/>
                    <a:stretch>
                      <a:fillRect/>
                    </a:stretch>
                  </pic:blipFill>
                  <pic:spPr bwMode="auto">
                    <a:xfrm>
                      <a:off x="0" y="0"/>
                      <a:ext cx="5870497" cy="1316918"/>
                    </a:xfrm>
                    <a:prstGeom prst="rect">
                      <a:avLst/>
                    </a:prstGeom>
                    <a:noFill/>
                    <a:ln w="9525">
                      <a:noFill/>
                      <a:miter lim="800000"/>
                      <a:headEnd/>
                      <a:tailEnd/>
                    </a:ln>
                  </pic:spPr>
                </pic:pic>
              </a:graphicData>
            </a:graphic>
          </wp:inline>
        </w:drawing>
      </w:r>
    </w:p>
    <w:p w:rsidR="00CE3B15" w:rsidRPr="001F1C38" w:rsidRDefault="00CE3B15" w:rsidP="00A879CC">
      <w:pPr>
        <w:ind w:firstLine="708"/>
        <w:jc w:val="both"/>
        <w:rPr>
          <w:rFonts w:asciiTheme="majorBidi" w:hAnsiTheme="majorBidi" w:cstheme="majorBidi"/>
          <w:b/>
          <w:color w:val="000000" w:themeColor="text1"/>
          <w:sz w:val="24"/>
          <w:szCs w:val="24"/>
        </w:rPr>
      </w:pPr>
      <w:r w:rsidRPr="001F1C38">
        <w:rPr>
          <w:rFonts w:asciiTheme="majorBidi" w:hAnsiTheme="majorBidi" w:cstheme="majorBidi"/>
          <w:bCs/>
          <w:color w:val="000000" w:themeColor="text1"/>
          <w:sz w:val="24"/>
          <w:szCs w:val="24"/>
        </w:rPr>
        <w:t>L’exploitant d’un moteur de recherche sur Internet est selon la CJUE responsable du traitement qu’il effectue des données à caractère personnel qui apparaissent sur des pages Web publiées par des tiers.</w:t>
      </w:r>
      <w:r w:rsidRPr="001F1C38">
        <w:rPr>
          <w:rFonts w:asciiTheme="majorBidi" w:hAnsiTheme="majorBidi" w:cstheme="majorBidi"/>
          <w:b/>
          <w:color w:val="000000" w:themeColor="text1"/>
          <w:sz w:val="24"/>
          <w:szCs w:val="24"/>
        </w:rPr>
        <w:t xml:space="preserve"> </w:t>
      </w:r>
      <w:r w:rsidRPr="001F1C38">
        <w:rPr>
          <w:rFonts w:asciiTheme="majorBidi" w:hAnsiTheme="majorBidi" w:cstheme="majorBidi"/>
          <w:bCs/>
          <w:i/>
          <w:iCs/>
          <w:color w:val="000000" w:themeColor="text1"/>
          <w:sz w:val="24"/>
          <w:szCs w:val="24"/>
        </w:rPr>
        <w:t>L</w:t>
      </w:r>
      <w:r w:rsidRPr="001F1C38">
        <w:rPr>
          <w:rFonts w:asciiTheme="majorBidi" w:hAnsiTheme="majorBidi" w:cstheme="majorBidi"/>
          <w:i/>
          <w:color w:val="000000" w:themeColor="text1"/>
          <w:sz w:val="24"/>
          <w:szCs w:val="24"/>
        </w:rPr>
        <w:t>orsque, à la suite d’une recherche effectuée à partir du nom d’une personne, les résultats affichent un lien vers une page Web qui contient des données à caractère personnel,  l’intéressé peut s’adresser directement à l’exploitant ou, lorsque celle-ci ne donne pas suite à sa demande, saisir les autorités compétentes en vue de l’obtenir, sous certaines conditions, la suppression de ce lien de la liste de résultats.</w:t>
      </w:r>
    </w:p>
    <w:p w:rsidR="00543A97" w:rsidRPr="001F1C38" w:rsidRDefault="00CE3B15" w:rsidP="00543A97">
      <w:pPr>
        <w:ind w:firstLine="708"/>
        <w:jc w:val="both"/>
        <w:rPr>
          <w:rFonts w:asciiTheme="majorBidi" w:hAnsiTheme="majorBidi" w:cstheme="majorBidi"/>
          <w:i/>
          <w:color w:val="000000" w:themeColor="text1"/>
          <w:sz w:val="24"/>
          <w:szCs w:val="24"/>
        </w:rPr>
      </w:pPr>
      <w:r w:rsidRPr="001F1C38">
        <w:rPr>
          <w:rFonts w:asciiTheme="majorBidi" w:hAnsiTheme="majorBidi" w:cstheme="majorBidi"/>
          <w:color w:val="000000" w:themeColor="text1"/>
          <w:sz w:val="24"/>
          <w:szCs w:val="24"/>
        </w:rPr>
        <w:t xml:space="preserve">La directive 95/46, prévoit essentiellement </w:t>
      </w:r>
      <w:r w:rsidRPr="001F1C38">
        <w:rPr>
          <w:rFonts w:asciiTheme="majorBidi" w:hAnsiTheme="majorBidi" w:cstheme="majorBidi"/>
          <w:i/>
          <w:iCs/>
          <w:color w:val="000000" w:themeColor="text1"/>
          <w:sz w:val="24"/>
          <w:szCs w:val="24"/>
        </w:rPr>
        <w:t>la protection des libertés et droits fondamentaux des personnes physiques, tel que le fameux droit à la vie privée</w:t>
      </w:r>
      <w:r w:rsidRPr="001F1C38">
        <w:rPr>
          <w:rFonts w:asciiTheme="majorBidi" w:hAnsiTheme="majorBidi" w:cstheme="majorBidi"/>
          <w:color w:val="000000" w:themeColor="text1"/>
          <w:sz w:val="24"/>
          <w:szCs w:val="24"/>
        </w:rPr>
        <w:t xml:space="preserve">, en cas de traitement des données à caractère personnel et sans la mise en cause de la libre circulation de ces données. Le requérant dans cette affaire faisant valoir que lorsqu’un internaute introduisait son nom dans le moteur de recherche de « Google </w:t>
      </w:r>
      <w:proofErr w:type="spellStart"/>
      <w:r w:rsidRPr="001F1C38">
        <w:rPr>
          <w:rFonts w:asciiTheme="majorBidi" w:hAnsiTheme="majorBidi" w:cstheme="majorBidi"/>
          <w:color w:val="000000" w:themeColor="text1"/>
          <w:sz w:val="24"/>
          <w:szCs w:val="24"/>
        </w:rPr>
        <w:t>Search</w:t>
      </w:r>
      <w:proofErr w:type="spellEnd"/>
      <w:r w:rsidRPr="001F1C38">
        <w:rPr>
          <w:rFonts w:asciiTheme="majorBidi" w:hAnsiTheme="majorBidi" w:cstheme="majorBidi"/>
          <w:color w:val="000000" w:themeColor="text1"/>
          <w:sz w:val="24"/>
          <w:szCs w:val="24"/>
        </w:rPr>
        <w:t xml:space="preserve"> », les résultants de la recherche affichent directement </w:t>
      </w:r>
      <w:r w:rsidR="00402976" w:rsidRPr="001F1C38">
        <w:rPr>
          <w:rFonts w:asciiTheme="majorBidi" w:hAnsiTheme="majorBidi" w:cstheme="majorBidi"/>
          <w:color w:val="000000" w:themeColor="text1"/>
          <w:sz w:val="24"/>
          <w:szCs w:val="24"/>
        </w:rPr>
        <w:t>d</w:t>
      </w:r>
      <w:r w:rsidRPr="001F1C38">
        <w:rPr>
          <w:rFonts w:asciiTheme="majorBidi" w:hAnsiTheme="majorBidi" w:cstheme="majorBidi"/>
          <w:color w:val="000000" w:themeColor="text1"/>
          <w:sz w:val="24"/>
          <w:szCs w:val="24"/>
        </w:rPr>
        <w:t xml:space="preserve">es pages Web </w:t>
      </w:r>
      <w:r w:rsidR="00402976" w:rsidRPr="001F1C38">
        <w:rPr>
          <w:rFonts w:asciiTheme="majorBidi" w:hAnsiTheme="majorBidi" w:cstheme="majorBidi"/>
          <w:color w:val="000000" w:themeColor="text1"/>
          <w:sz w:val="24"/>
          <w:szCs w:val="24"/>
        </w:rPr>
        <w:t xml:space="preserve">qui </w:t>
      </w:r>
      <w:r w:rsidRPr="001F1C38">
        <w:rPr>
          <w:rFonts w:asciiTheme="majorBidi" w:hAnsiTheme="majorBidi" w:cstheme="majorBidi"/>
          <w:color w:val="000000" w:themeColor="text1"/>
          <w:sz w:val="24"/>
          <w:szCs w:val="24"/>
        </w:rPr>
        <w:t xml:space="preserve">contiennent </w:t>
      </w:r>
      <w:r w:rsidR="00543A97">
        <w:rPr>
          <w:rFonts w:asciiTheme="majorBidi" w:hAnsiTheme="majorBidi" w:cstheme="majorBidi"/>
          <w:color w:val="000000" w:themeColor="text1"/>
          <w:sz w:val="24"/>
          <w:szCs w:val="24"/>
        </w:rPr>
        <w:t xml:space="preserve">ses données personnelles. </w:t>
      </w:r>
      <w:r w:rsidRPr="001F1C38">
        <w:rPr>
          <w:rFonts w:asciiTheme="majorBidi" w:hAnsiTheme="majorBidi" w:cstheme="majorBidi"/>
          <w:color w:val="000000" w:themeColor="text1"/>
          <w:sz w:val="24"/>
          <w:szCs w:val="24"/>
        </w:rPr>
        <w:t xml:space="preserve">A partir de cette réclamation, M. </w:t>
      </w:r>
      <w:proofErr w:type="spellStart"/>
      <w:r w:rsidRPr="001F1C38">
        <w:rPr>
          <w:rFonts w:asciiTheme="majorBidi" w:hAnsiTheme="majorBidi" w:cstheme="majorBidi"/>
          <w:color w:val="000000" w:themeColor="text1"/>
          <w:sz w:val="24"/>
          <w:szCs w:val="24"/>
        </w:rPr>
        <w:t>Costeja</w:t>
      </w:r>
      <w:proofErr w:type="spellEnd"/>
      <w:r w:rsidRPr="001F1C38">
        <w:rPr>
          <w:rFonts w:asciiTheme="majorBidi" w:hAnsiTheme="majorBidi" w:cstheme="majorBidi"/>
          <w:color w:val="000000" w:themeColor="text1"/>
          <w:sz w:val="24"/>
          <w:szCs w:val="24"/>
        </w:rPr>
        <w:t xml:space="preserve"> Gonzalez demandait, en premier lieu, qu’il soit ordonné à la </w:t>
      </w:r>
      <w:proofErr w:type="spellStart"/>
      <w:r w:rsidRPr="001F1C38">
        <w:rPr>
          <w:rFonts w:asciiTheme="majorBidi" w:hAnsiTheme="majorBidi" w:cstheme="majorBidi"/>
          <w:color w:val="000000" w:themeColor="text1"/>
          <w:sz w:val="24"/>
          <w:szCs w:val="24"/>
        </w:rPr>
        <w:t>Vanguardia</w:t>
      </w:r>
      <w:proofErr w:type="spellEnd"/>
      <w:r w:rsidRPr="001F1C38">
        <w:rPr>
          <w:rFonts w:asciiTheme="majorBidi" w:hAnsiTheme="majorBidi" w:cstheme="majorBidi"/>
          <w:color w:val="000000" w:themeColor="text1"/>
          <w:sz w:val="24"/>
          <w:szCs w:val="24"/>
        </w:rPr>
        <w:t xml:space="preserve"> soit de supprimer ou de modifier les pages le concernant et qui sont en question afin que ses données per</w:t>
      </w:r>
      <w:r w:rsidR="00402976" w:rsidRPr="001F1C38">
        <w:rPr>
          <w:rFonts w:asciiTheme="majorBidi" w:hAnsiTheme="majorBidi" w:cstheme="majorBidi"/>
          <w:color w:val="000000" w:themeColor="text1"/>
          <w:sz w:val="24"/>
          <w:szCs w:val="24"/>
        </w:rPr>
        <w:t xml:space="preserve">sonnelles n’y apparaissent plus, </w:t>
      </w:r>
      <w:r w:rsidRPr="001F1C38">
        <w:rPr>
          <w:rFonts w:asciiTheme="majorBidi" w:hAnsiTheme="majorBidi" w:cstheme="majorBidi"/>
          <w:i/>
          <w:color w:val="000000" w:themeColor="text1"/>
          <w:sz w:val="24"/>
          <w:szCs w:val="24"/>
        </w:rPr>
        <w:t>Il s’agissait pour la CJUE de savoir si l’activité d’un moteur de recherche peut être considérée de « traitement de données à caractère personnel » ?</w:t>
      </w:r>
    </w:p>
    <w:p w:rsidR="00543A97" w:rsidRDefault="001F1C38" w:rsidP="009D7088">
      <w:pPr>
        <w:ind w:firstLine="708"/>
        <w:jc w:val="both"/>
        <w:rPr>
          <w:rFonts w:asciiTheme="majorBidi" w:hAnsiTheme="majorBidi" w:cstheme="majorBidi"/>
          <w:color w:val="000000" w:themeColor="text1"/>
          <w:sz w:val="24"/>
          <w:szCs w:val="24"/>
        </w:rPr>
      </w:pPr>
      <w:r w:rsidRPr="001F1C38">
        <w:rPr>
          <w:rFonts w:asciiTheme="majorBidi" w:hAnsiTheme="majorBidi" w:cstheme="majorBidi"/>
          <w:color w:val="000000" w:themeColor="text1"/>
          <w:sz w:val="24"/>
          <w:szCs w:val="24"/>
        </w:rPr>
        <w:t>L</w:t>
      </w:r>
      <w:r w:rsidR="00CE3B15" w:rsidRPr="001F1C38">
        <w:rPr>
          <w:rFonts w:asciiTheme="majorBidi" w:hAnsiTheme="majorBidi" w:cstheme="majorBidi"/>
          <w:color w:val="000000" w:themeColor="text1"/>
          <w:sz w:val="24"/>
          <w:szCs w:val="24"/>
        </w:rPr>
        <w:t>a CJUE dans cette affaire qui a surpris l’ensemble des moteurs de recherches, a consacré l’existence d’une obligation pour ces derniers de supprimer, sur la demande des internautes, les données liées à leur nom dans une liste de résultats affichées</w:t>
      </w:r>
      <w:r>
        <w:rPr>
          <w:rFonts w:asciiTheme="majorBidi" w:hAnsiTheme="majorBidi" w:cstheme="majorBidi"/>
          <w:color w:val="000000" w:themeColor="text1"/>
          <w:sz w:val="24"/>
          <w:szCs w:val="24"/>
        </w:rPr>
        <w:t>.</w:t>
      </w:r>
      <w:r w:rsidR="00CE3B15" w:rsidRPr="001F1C38">
        <w:rPr>
          <w:rFonts w:asciiTheme="majorBidi" w:hAnsiTheme="majorBidi" w:cstheme="majorBidi"/>
          <w:color w:val="000000" w:themeColor="text1"/>
          <w:sz w:val="24"/>
          <w:szCs w:val="24"/>
        </w:rPr>
        <w:t xml:space="preserve"> Il s’agit donc bien évidemment d’une simple consécration d’un « droit à l</w:t>
      </w:r>
      <w:r>
        <w:rPr>
          <w:rFonts w:asciiTheme="majorBidi" w:hAnsiTheme="majorBidi" w:cstheme="majorBidi"/>
          <w:color w:val="000000" w:themeColor="text1"/>
          <w:sz w:val="24"/>
          <w:szCs w:val="24"/>
        </w:rPr>
        <w:t>’oubli numérique », par la Cour.</w:t>
      </w:r>
      <w:r w:rsidR="00CE3B15" w:rsidRPr="001F1C38">
        <w:rPr>
          <w:rFonts w:asciiTheme="majorBidi" w:hAnsiTheme="majorBidi" w:cstheme="majorBidi"/>
          <w:color w:val="000000" w:themeColor="text1"/>
          <w:sz w:val="24"/>
          <w:szCs w:val="24"/>
        </w:rPr>
        <w:t xml:space="preserve"> C’est donc le fait de garder les anciens dossiers professionnels qui peuvent faire l’objet des résultats d’une recherche sur le Web. </w:t>
      </w:r>
    </w:p>
    <w:p w:rsidR="009D7088" w:rsidRDefault="009D7088" w:rsidP="009D7088">
      <w:pPr>
        <w:ind w:left="-993" w:firstLine="708"/>
        <w:jc w:val="both"/>
        <w:rPr>
          <w:rFonts w:asciiTheme="majorBidi" w:hAnsiTheme="majorBidi" w:cstheme="majorBidi"/>
          <w:color w:val="000000" w:themeColor="text1"/>
          <w:sz w:val="24"/>
          <w:szCs w:val="24"/>
        </w:rPr>
      </w:pPr>
      <w:r w:rsidRPr="009D7088">
        <w:rPr>
          <w:rFonts w:asciiTheme="majorBidi" w:hAnsiTheme="majorBidi" w:cstheme="majorBidi"/>
          <w:color w:val="000000" w:themeColor="text1"/>
          <w:sz w:val="24"/>
          <w:szCs w:val="24"/>
        </w:rPr>
        <w:drawing>
          <wp:inline distT="0" distB="0" distL="0" distR="0">
            <wp:extent cx="6184240" cy="1324051"/>
            <wp:effectExtent l="19050" t="0" r="7010" b="0"/>
            <wp:docPr id="6" name="Image 1" descr="http://www.avocats-mathias.com/wp-content/uploads/2014/05/garance-mathias-avocats-cabinet-droit-oub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ocats-mathias.com/wp-content/uploads/2014/05/garance-mathias-avocats-cabinet-droit-oubli.jpg"/>
                    <pic:cNvPicPr>
                      <a:picLocks noChangeAspect="1" noChangeArrowheads="1"/>
                    </pic:cNvPicPr>
                  </pic:nvPicPr>
                  <pic:blipFill>
                    <a:blip r:embed="rId8" cstate="print"/>
                    <a:srcRect/>
                    <a:stretch>
                      <a:fillRect/>
                    </a:stretch>
                  </pic:blipFill>
                  <pic:spPr bwMode="auto">
                    <a:xfrm>
                      <a:off x="0" y="0"/>
                      <a:ext cx="6190200" cy="1325327"/>
                    </a:xfrm>
                    <a:prstGeom prst="rect">
                      <a:avLst/>
                    </a:prstGeom>
                    <a:noFill/>
                    <a:ln w="9525">
                      <a:noFill/>
                      <a:miter lim="800000"/>
                      <a:headEnd/>
                      <a:tailEnd/>
                    </a:ln>
                  </pic:spPr>
                </pic:pic>
              </a:graphicData>
            </a:graphic>
          </wp:inline>
        </w:drawing>
      </w:r>
    </w:p>
    <w:p w:rsidR="00543A97" w:rsidRDefault="00543A97" w:rsidP="00543A97">
      <w:pPr>
        <w:ind w:firstLine="284"/>
        <w:jc w:val="both"/>
        <w:rPr>
          <w:rFonts w:asciiTheme="majorBidi" w:hAnsiTheme="majorBidi" w:cstheme="majorBidi"/>
          <w:color w:val="000000" w:themeColor="text1"/>
          <w:sz w:val="24"/>
          <w:szCs w:val="24"/>
        </w:rPr>
      </w:pPr>
    </w:p>
    <w:p w:rsidR="00CE3B15" w:rsidRPr="001F1C38" w:rsidRDefault="00CE3B15" w:rsidP="009D7088">
      <w:pPr>
        <w:ind w:firstLine="708"/>
        <w:jc w:val="both"/>
        <w:rPr>
          <w:rFonts w:asciiTheme="majorBidi" w:hAnsiTheme="majorBidi" w:cstheme="majorBidi"/>
          <w:color w:val="000000" w:themeColor="text1"/>
          <w:sz w:val="24"/>
          <w:szCs w:val="24"/>
        </w:rPr>
      </w:pPr>
      <w:r w:rsidRPr="001F1C38">
        <w:rPr>
          <w:rFonts w:asciiTheme="majorBidi" w:hAnsiTheme="majorBidi" w:cstheme="majorBidi"/>
          <w:color w:val="000000" w:themeColor="text1"/>
          <w:sz w:val="24"/>
          <w:szCs w:val="24"/>
        </w:rPr>
        <w:lastRenderedPageBreak/>
        <w:t>La Cour rappell</w:t>
      </w:r>
      <w:r w:rsidR="00A879CC">
        <w:rPr>
          <w:rFonts w:asciiTheme="majorBidi" w:hAnsiTheme="majorBidi" w:cstheme="majorBidi"/>
          <w:color w:val="000000" w:themeColor="text1"/>
          <w:sz w:val="24"/>
          <w:szCs w:val="24"/>
        </w:rPr>
        <w:t>e, en outre,</w:t>
      </w:r>
      <w:r w:rsidRPr="001F1C38">
        <w:rPr>
          <w:rFonts w:asciiTheme="majorBidi" w:hAnsiTheme="majorBidi" w:cstheme="majorBidi"/>
          <w:color w:val="000000" w:themeColor="text1"/>
          <w:sz w:val="24"/>
          <w:szCs w:val="24"/>
        </w:rPr>
        <w:t xml:space="preserve"> que les opérations visées par la directive doivent être qualifiées de traitement même lorsqu’elles concernent exclusivement des informations qui ont ét</w:t>
      </w:r>
      <w:r w:rsidR="009140F2" w:rsidRPr="001F1C38">
        <w:rPr>
          <w:rFonts w:asciiTheme="majorBidi" w:hAnsiTheme="majorBidi" w:cstheme="majorBidi"/>
          <w:color w:val="000000" w:themeColor="text1"/>
          <w:sz w:val="24"/>
          <w:szCs w:val="24"/>
        </w:rPr>
        <w:t xml:space="preserve">é déjà publiées dans la Média. </w:t>
      </w:r>
      <w:r w:rsidR="00A879CC">
        <w:rPr>
          <w:rFonts w:asciiTheme="majorBidi" w:hAnsiTheme="majorBidi" w:cstheme="majorBidi"/>
          <w:color w:val="000000" w:themeColor="text1"/>
          <w:sz w:val="24"/>
          <w:szCs w:val="24"/>
        </w:rPr>
        <w:t>Et s</w:t>
      </w:r>
      <w:r w:rsidRPr="001F1C38">
        <w:rPr>
          <w:rFonts w:asciiTheme="majorBidi" w:hAnsiTheme="majorBidi" w:cstheme="majorBidi"/>
          <w:color w:val="000000" w:themeColor="text1"/>
          <w:sz w:val="24"/>
          <w:szCs w:val="24"/>
        </w:rPr>
        <w:t xml:space="preserve">elon </w:t>
      </w:r>
      <w:r w:rsidR="009206D6">
        <w:rPr>
          <w:rFonts w:asciiTheme="majorBidi" w:hAnsiTheme="majorBidi" w:cstheme="majorBidi"/>
          <w:color w:val="000000" w:themeColor="text1"/>
          <w:sz w:val="24"/>
          <w:szCs w:val="24"/>
        </w:rPr>
        <w:t>la Directive,</w:t>
      </w:r>
      <w:r w:rsidRPr="001F1C38">
        <w:rPr>
          <w:rFonts w:asciiTheme="majorBidi" w:hAnsiTheme="majorBidi" w:cstheme="majorBidi"/>
          <w:color w:val="000000" w:themeColor="text1"/>
          <w:sz w:val="24"/>
          <w:szCs w:val="24"/>
        </w:rPr>
        <w:t xml:space="preserve"> l’applicabilité territoriale de la législation nationale en matière de protection de do</w:t>
      </w:r>
      <w:r w:rsidR="009D7088">
        <w:rPr>
          <w:rFonts w:asciiTheme="majorBidi" w:hAnsiTheme="majorBidi" w:cstheme="majorBidi"/>
          <w:color w:val="000000" w:themeColor="text1"/>
          <w:sz w:val="24"/>
          <w:szCs w:val="24"/>
        </w:rPr>
        <w:t>nnées personnelles est néanmoins</w:t>
      </w:r>
      <w:r w:rsidRPr="001F1C38">
        <w:rPr>
          <w:rFonts w:asciiTheme="majorBidi" w:hAnsiTheme="majorBidi" w:cstheme="majorBidi"/>
          <w:color w:val="000000" w:themeColor="text1"/>
          <w:sz w:val="24"/>
          <w:szCs w:val="24"/>
        </w:rPr>
        <w:t xml:space="preserve"> conditionnée et doit o</w:t>
      </w:r>
      <w:r w:rsidR="009D7088">
        <w:rPr>
          <w:rFonts w:asciiTheme="majorBidi" w:hAnsiTheme="majorBidi" w:cstheme="majorBidi"/>
          <w:color w:val="000000" w:themeColor="text1"/>
          <w:sz w:val="24"/>
          <w:szCs w:val="24"/>
        </w:rPr>
        <w:t>béir à certaines conditions</w:t>
      </w:r>
      <w:r w:rsidRPr="001F1C38">
        <w:rPr>
          <w:rFonts w:asciiTheme="majorBidi" w:hAnsiTheme="majorBidi" w:cstheme="majorBidi"/>
          <w:color w:val="000000" w:themeColor="text1"/>
          <w:sz w:val="24"/>
          <w:szCs w:val="24"/>
        </w:rPr>
        <w:t xml:space="preserve">. </w:t>
      </w:r>
    </w:p>
    <w:p w:rsidR="00903916" w:rsidRDefault="00903916" w:rsidP="00CE3B15">
      <w:pPr>
        <w:ind w:firstLine="708"/>
        <w:jc w:val="both"/>
        <w:rPr>
          <w:rFonts w:asciiTheme="majorBidi" w:hAnsiTheme="majorBidi" w:cstheme="majorBidi"/>
          <w:b/>
          <w:bCs/>
          <w:color w:val="000000" w:themeColor="text1"/>
          <w:sz w:val="20"/>
          <w:szCs w:val="20"/>
        </w:rPr>
      </w:pPr>
    </w:p>
    <w:p w:rsidR="00903916" w:rsidRPr="00543A97" w:rsidRDefault="00903916" w:rsidP="00CE3B15">
      <w:pPr>
        <w:ind w:firstLine="708"/>
        <w:jc w:val="both"/>
        <w:rPr>
          <w:rFonts w:asciiTheme="majorBidi" w:hAnsiTheme="majorBidi" w:cstheme="majorBidi"/>
          <w:b/>
          <w:bCs/>
          <w:color w:val="000000" w:themeColor="text1"/>
          <w:sz w:val="20"/>
          <w:szCs w:val="20"/>
        </w:rPr>
      </w:pPr>
      <w:r w:rsidRPr="00543A97">
        <w:rPr>
          <w:rFonts w:asciiTheme="majorBidi" w:hAnsiTheme="majorBidi" w:cstheme="majorBidi"/>
          <w:b/>
          <w:bCs/>
          <w:color w:val="000000" w:themeColor="text1"/>
          <w:sz w:val="20"/>
          <w:szCs w:val="20"/>
        </w:rPr>
        <w:t xml:space="preserve">                                                         </w:t>
      </w:r>
      <w:r w:rsidR="001F734E" w:rsidRPr="00543A97">
        <w:rPr>
          <w:rFonts w:asciiTheme="majorBidi" w:hAnsiTheme="majorBidi" w:cstheme="majorBidi"/>
          <w:b/>
          <w:bCs/>
          <w:color w:val="000000" w:themeColor="text1"/>
          <w:sz w:val="20"/>
          <w:szCs w:val="20"/>
        </w:rPr>
        <w:t xml:space="preserve">                      </w:t>
      </w:r>
      <w:r w:rsidRPr="00543A97">
        <w:rPr>
          <w:rFonts w:asciiTheme="majorBidi" w:hAnsiTheme="majorBidi" w:cstheme="majorBidi"/>
          <w:b/>
          <w:bCs/>
          <w:color w:val="000000" w:themeColor="text1"/>
          <w:sz w:val="20"/>
          <w:szCs w:val="20"/>
        </w:rPr>
        <w:t xml:space="preserve"> Mohamed Saleh </w:t>
      </w:r>
      <w:proofErr w:type="spellStart"/>
      <w:r w:rsidRPr="00543A97">
        <w:rPr>
          <w:rFonts w:asciiTheme="majorBidi" w:hAnsiTheme="majorBidi" w:cstheme="majorBidi"/>
          <w:b/>
          <w:bCs/>
          <w:color w:val="000000" w:themeColor="text1"/>
          <w:sz w:val="20"/>
          <w:szCs w:val="20"/>
        </w:rPr>
        <w:t>Abeih</w:t>
      </w:r>
      <w:proofErr w:type="spellEnd"/>
      <w:r w:rsidRPr="00543A97">
        <w:rPr>
          <w:rFonts w:asciiTheme="majorBidi" w:hAnsiTheme="majorBidi" w:cstheme="majorBidi"/>
          <w:b/>
          <w:bCs/>
          <w:color w:val="000000" w:themeColor="text1"/>
          <w:sz w:val="20"/>
          <w:szCs w:val="20"/>
        </w:rPr>
        <w:t xml:space="preserve"> MOHAMED SALEH </w:t>
      </w:r>
    </w:p>
    <w:p w:rsidR="001F734E" w:rsidRPr="00687701" w:rsidRDefault="001F734E" w:rsidP="00CE3B15">
      <w:pPr>
        <w:ind w:firstLine="708"/>
        <w:jc w:val="both"/>
        <w:rPr>
          <w:rFonts w:asciiTheme="majorBidi" w:hAnsiTheme="majorBidi" w:cstheme="majorBidi"/>
          <w:b/>
          <w:bCs/>
          <w:color w:val="000000" w:themeColor="text1"/>
          <w:sz w:val="20"/>
          <w:szCs w:val="20"/>
        </w:rPr>
      </w:pPr>
      <w:r w:rsidRPr="00543A97">
        <w:rPr>
          <w:rFonts w:asciiTheme="majorBidi" w:hAnsiTheme="majorBidi" w:cstheme="majorBidi"/>
          <w:b/>
          <w:bCs/>
          <w:color w:val="000000" w:themeColor="text1"/>
          <w:sz w:val="20"/>
          <w:szCs w:val="20"/>
        </w:rPr>
        <w:t xml:space="preserve">                                                                  </w:t>
      </w:r>
      <w:r>
        <w:rPr>
          <w:rFonts w:asciiTheme="majorBidi" w:hAnsiTheme="majorBidi" w:cstheme="majorBidi"/>
          <w:b/>
          <w:bCs/>
          <w:color w:val="000000" w:themeColor="text1"/>
          <w:sz w:val="20"/>
          <w:szCs w:val="20"/>
        </w:rPr>
        <w:t>Doctorant Chercheur en Droit Public et Sciences Politiques</w:t>
      </w:r>
    </w:p>
    <w:p w:rsidR="00CE3B15" w:rsidRPr="00687701" w:rsidRDefault="00CE3B15" w:rsidP="00CE3B15">
      <w:pPr>
        <w:ind w:firstLine="708"/>
        <w:jc w:val="both"/>
        <w:rPr>
          <w:rFonts w:asciiTheme="majorBidi" w:hAnsiTheme="majorBidi" w:cstheme="majorBidi"/>
          <w:b/>
          <w:bCs/>
          <w:color w:val="000000" w:themeColor="text1"/>
          <w:sz w:val="20"/>
          <w:szCs w:val="20"/>
        </w:rPr>
      </w:pPr>
    </w:p>
    <w:p w:rsidR="00CE3B15" w:rsidRPr="00687701" w:rsidRDefault="00CE3B15" w:rsidP="00CE3B15">
      <w:pPr>
        <w:ind w:firstLine="708"/>
        <w:jc w:val="both"/>
        <w:rPr>
          <w:rFonts w:asciiTheme="majorBidi" w:hAnsiTheme="majorBidi" w:cstheme="majorBidi"/>
          <w:b/>
          <w:bCs/>
          <w:color w:val="000000" w:themeColor="text1"/>
          <w:sz w:val="20"/>
          <w:szCs w:val="20"/>
        </w:rPr>
      </w:pPr>
    </w:p>
    <w:p w:rsidR="00CE3B15" w:rsidRPr="00687701" w:rsidRDefault="00CE3B15" w:rsidP="00CE3B15">
      <w:pPr>
        <w:ind w:firstLine="708"/>
        <w:jc w:val="both"/>
        <w:rPr>
          <w:rFonts w:asciiTheme="majorBidi" w:hAnsiTheme="majorBidi" w:cstheme="majorBidi"/>
          <w:b/>
          <w:bCs/>
          <w:color w:val="000000" w:themeColor="text1"/>
          <w:sz w:val="20"/>
          <w:szCs w:val="20"/>
        </w:rPr>
      </w:pPr>
    </w:p>
    <w:p w:rsidR="00CE3B15" w:rsidRPr="00687701" w:rsidRDefault="00CE3B15" w:rsidP="00CE3B15">
      <w:pPr>
        <w:jc w:val="both"/>
        <w:rPr>
          <w:rFonts w:asciiTheme="majorBidi" w:hAnsiTheme="majorBidi" w:cstheme="majorBidi"/>
          <w:color w:val="000000" w:themeColor="text1"/>
          <w:sz w:val="20"/>
          <w:szCs w:val="20"/>
        </w:rPr>
      </w:pPr>
    </w:p>
    <w:p w:rsidR="00B9280C" w:rsidRDefault="00B9280C"/>
    <w:sectPr w:rsidR="00B9280C" w:rsidSect="00543A97">
      <w:pgSz w:w="11906" w:h="16838"/>
      <w:pgMar w:top="1417" w:right="1417"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305" w:rsidRDefault="000C1305" w:rsidP="00CE3B15">
      <w:r>
        <w:separator/>
      </w:r>
    </w:p>
  </w:endnote>
  <w:endnote w:type="continuationSeparator" w:id="0">
    <w:p w:rsidR="000C1305" w:rsidRDefault="000C1305" w:rsidP="00CE3B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305" w:rsidRDefault="000C1305" w:rsidP="00CE3B15">
      <w:r>
        <w:separator/>
      </w:r>
    </w:p>
  </w:footnote>
  <w:footnote w:type="continuationSeparator" w:id="0">
    <w:p w:rsidR="000C1305" w:rsidRDefault="000C1305" w:rsidP="00CE3B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25167"/>
    <w:multiLevelType w:val="hybridMultilevel"/>
    <w:tmpl w:val="570CEB0E"/>
    <w:lvl w:ilvl="0" w:tplc="8A10F38E">
      <w:start w:val="1"/>
      <w:numFmt w:val="upperRoman"/>
      <w:lvlText w:val="%1-"/>
      <w:lvlJc w:val="left"/>
      <w:pPr>
        <w:ind w:left="1080" w:hanging="72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CE3B15"/>
    <w:rsid w:val="0007056A"/>
    <w:rsid w:val="000C1305"/>
    <w:rsid w:val="001F1C38"/>
    <w:rsid w:val="001F734E"/>
    <w:rsid w:val="00402976"/>
    <w:rsid w:val="00543A97"/>
    <w:rsid w:val="005A2976"/>
    <w:rsid w:val="00765114"/>
    <w:rsid w:val="007F1486"/>
    <w:rsid w:val="00884F73"/>
    <w:rsid w:val="008C1445"/>
    <w:rsid w:val="00903916"/>
    <w:rsid w:val="009140F2"/>
    <w:rsid w:val="009206D6"/>
    <w:rsid w:val="009D7088"/>
    <w:rsid w:val="00A879CC"/>
    <w:rsid w:val="00B9280C"/>
    <w:rsid w:val="00CE3B15"/>
    <w:rsid w:val="00EE62C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B15"/>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CE3B15"/>
    <w:pPr>
      <w:ind w:left="720"/>
    </w:pPr>
  </w:style>
  <w:style w:type="character" w:styleId="Lienhypertexte">
    <w:name w:val="Hyperlink"/>
    <w:basedOn w:val="Policepardfaut"/>
    <w:uiPriority w:val="99"/>
    <w:rsid w:val="00CE3B15"/>
    <w:rPr>
      <w:rFonts w:cs="Times New Roman"/>
      <w:color w:val="0000FF"/>
      <w:u w:val="single"/>
    </w:rPr>
  </w:style>
  <w:style w:type="character" w:customStyle="1" w:styleId="apple-converted-space">
    <w:name w:val="apple-converted-space"/>
    <w:basedOn w:val="Policepardfaut"/>
    <w:rsid w:val="00CE3B15"/>
    <w:rPr>
      <w:rFonts w:cs="Times New Roman"/>
    </w:rPr>
  </w:style>
  <w:style w:type="character" w:styleId="Accentuation">
    <w:name w:val="Emphasis"/>
    <w:basedOn w:val="Policepardfaut"/>
    <w:uiPriority w:val="20"/>
    <w:qFormat/>
    <w:rsid w:val="00CE3B15"/>
    <w:rPr>
      <w:rFonts w:cs="Times New Roman"/>
      <w:i/>
      <w:iCs/>
    </w:rPr>
  </w:style>
  <w:style w:type="paragraph" w:styleId="Notedebasdepage">
    <w:name w:val="footnote text"/>
    <w:basedOn w:val="Normal"/>
    <w:link w:val="NotedebasdepageCar"/>
    <w:uiPriority w:val="99"/>
    <w:semiHidden/>
    <w:unhideWhenUsed/>
    <w:rsid w:val="00CE3B15"/>
    <w:rPr>
      <w:sz w:val="20"/>
      <w:szCs w:val="20"/>
    </w:rPr>
  </w:style>
  <w:style w:type="character" w:customStyle="1" w:styleId="NotedebasdepageCar">
    <w:name w:val="Note de bas de page Car"/>
    <w:basedOn w:val="Policepardfaut"/>
    <w:link w:val="Notedebasdepage"/>
    <w:uiPriority w:val="99"/>
    <w:semiHidden/>
    <w:rsid w:val="00CE3B15"/>
    <w:rPr>
      <w:rFonts w:ascii="Calibri" w:eastAsia="Calibri" w:hAnsi="Calibri" w:cs="Times New Roman"/>
      <w:sz w:val="20"/>
      <w:szCs w:val="20"/>
    </w:rPr>
  </w:style>
  <w:style w:type="character" w:styleId="Appelnotedebasdep">
    <w:name w:val="footnote reference"/>
    <w:basedOn w:val="Policepardfaut"/>
    <w:uiPriority w:val="99"/>
    <w:semiHidden/>
    <w:unhideWhenUsed/>
    <w:rsid w:val="00CE3B15"/>
    <w:rPr>
      <w:vertAlign w:val="superscript"/>
    </w:rPr>
  </w:style>
  <w:style w:type="paragraph" w:styleId="NormalWeb">
    <w:name w:val="Normal (Web)"/>
    <w:basedOn w:val="Normal"/>
    <w:uiPriority w:val="99"/>
    <w:unhideWhenUsed/>
    <w:rsid w:val="00CE3B15"/>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543A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A9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438</Words>
  <Characters>2413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10</cp:revision>
  <dcterms:created xsi:type="dcterms:W3CDTF">2015-02-07T19:14:00Z</dcterms:created>
  <dcterms:modified xsi:type="dcterms:W3CDTF">2015-02-12T20:48:00Z</dcterms:modified>
</cp:coreProperties>
</file>