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1B4" w:rsidRPr="008F2B99" w:rsidRDefault="001271B4" w:rsidP="000D3557">
      <w:pPr>
        <w:spacing w:after="0"/>
        <w:ind w:left="-709"/>
        <w:jc w:val="center"/>
        <w:rPr>
          <w:rFonts w:ascii="Times New Roman" w:hAnsi="Times New Roman"/>
          <w:b/>
          <w:color w:val="313131"/>
          <w:sz w:val="24"/>
          <w:szCs w:val="24"/>
          <w:u w:val="single"/>
          <w:lang w:val="fr-FR"/>
        </w:rPr>
      </w:pPr>
      <w:r w:rsidRPr="008F2B99">
        <w:rPr>
          <w:rFonts w:ascii="Times New Roman" w:hAnsi="Times New Roman"/>
          <w:b/>
          <w:color w:val="313131"/>
          <w:sz w:val="24"/>
          <w:szCs w:val="24"/>
          <w:u w:val="single"/>
          <w:lang w:val="fr-FR"/>
        </w:rPr>
        <w:t xml:space="preserve">Comparaison de la spectroscopie Raman </w:t>
      </w:r>
      <w:r w:rsidRPr="008F2B99">
        <w:rPr>
          <w:rFonts w:ascii="Times New Roman" w:hAnsi="Times New Roman"/>
          <w:b/>
          <w:i/>
          <w:color w:val="313131"/>
          <w:sz w:val="24"/>
          <w:szCs w:val="24"/>
          <w:u w:val="single"/>
          <w:lang w:val="fr-FR"/>
        </w:rPr>
        <w:t>vs.</w:t>
      </w:r>
      <w:r w:rsidRPr="008F2B99">
        <w:rPr>
          <w:rFonts w:ascii="Times New Roman" w:hAnsi="Times New Roman"/>
          <w:b/>
          <w:color w:val="313131"/>
          <w:sz w:val="24"/>
          <w:szCs w:val="24"/>
          <w:u w:val="single"/>
          <w:lang w:val="fr-FR"/>
        </w:rPr>
        <w:t xml:space="preserve"> </w:t>
      </w:r>
      <w:r>
        <w:rPr>
          <w:rFonts w:ascii="Times New Roman" w:hAnsi="Times New Roman"/>
          <w:b/>
          <w:color w:val="313131"/>
          <w:sz w:val="24"/>
          <w:szCs w:val="24"/>
          <w:u w:val="single"/>
          <w:lang w:val="fr-FR"/>
        </w:rPr>
        <w:t xml:space="preserve">Chromatographie Liquide Haute Performance pour le </w:t>
      </w:r>
      <w:r w:rsidRPr="002F11AA">
        <w:rPr>
          <w:rFonts w:ascii="Times New Roman" w:hAnsi="Times New Roman"/>
          <w:b/>
          <w:color w:val="313131"/>
          <w:sz w:val="24"/>
          <w:szCs w:val="24"/>
          <w:u w:val="single"/>
          <w:lang w:val="fr-FR"/>
        </w:rPr>
        <w:t>Contrôle de Qualité Analytique Libératoire</w:t>
      </w:r>
      <w:r w:rsidRPr="008F2B99">
        <w:rPr>
          <w:rFonts w:ascii="Times New Roman" w:hAnsi="Times New Roman"/>
          <w:b/>
          <w:color w:val="313131"/>
          <w:sz w:val="24"/>
          <w:szCs w:val="24"/>
          <w:u w:val="single"/>
          <w:lang w:val="fr-FR"/>
        </w:rPr>
        <w:t xml:space="preserve"> </w:t>
      </w:r>
      <w:r>
        <w:rPr>
          <w:rFonts w:ascii="Times New Roman" w:hAnsi="Times New Roman"/>
          <w:b/>
          <w:color w:val="313131"/>
          <w:sz w:val="24"/>
          <w:szCs w:val="24"/>
          <w:u w:val="single"/>
          <w:lang w:val="fr-FR"/>
        </w:rPr>
        <w:t>d’Objets T</w:t>
      </w:r>
      <w:r w:rsidRPr="008F2B99">
        <w:rPr>
          <w:rFonts w:ascii="Times New Roman" w:hAnsi="Times New Roman"/>
          <w:b/>
          <w:color w:val="313131"/>
          <w:sz w:val="24"/>
          <w:szCs w:val="24"/>
          <w:u w:val="single"/>
          <w:lang w:val="fr-FR"/>
        </w:rPr>
        <w:t>hér</w:t>
      </w:r>
      <w:r>
        <w:rPr>
          <w:rFonts w:ascii="Times New Roman" w:hAnsi="Times New Roman"/>
          <w:b/>
          <w:color w:val="313131"/>
          <w:sz w:val="24"/>
          <w:szCs w:val="24"/>
          <w:u w:val="single"/>
          <w:lang w:val="fr-FR"/>
        </w:rPr>
        <w:t xml:space="preserve">apeutiques complexes : modèle </w:t>
      </w:r>
      <w:r w:rsidRPr="002F11AA">
        <w:rPr>
          <w:rFonts w:ascii="Times New Roman" w:hAnsi="Times New Roman"/>
          <w:b/>
          <w:color w:val="313131"/>
          <w:sz w:val="24"/>
          <w:szCs w:val="24"/>
          <w:u w:val="single"/>
          <w:lang w:val="fr-FR"/>
        </w:rPr>
        <w:t>de</w:t>
      </w:r>
      <w:r>
        <w:rPr>
          <w:rFonts w:ascii="Times New Roman" w:hAnsi="Times New Roman"/>
          <w:b/>
          <w:color w:val="313131"/>
          <w:sz w:val="24"/>
          <w:szCs w:val="24"/>
          <w:u w:val="single"/>
          <w:lang w:val="fr-FR"/>
        </w:rPr>
        <w:t>s</w:t>
      </w:r>
      <w:r w:rsidRPr="002F11AA">
        <w:rPr>
          <w:rFonts w:ascii="Times New Roman" w:hAnsi="Times New Roman"/>
          <w:b/>
          <w:color w:val="313131"/>
          <w:sz w:val="24"/>
          <w:szCs w:val="24"/>
          <w:u w:val="single"/>
          <w:lang w:val="fr-FR"/>
        </w:rPr>
        <w:t xml:space="preserve"> Diffuseurs Portables à membrane de </w:t>
      </w:r>
      <w:proofErr w:type="spellStart"/>
      <w:r w:rsidRPr="002F11AA">
        <w:rPr>
          <w:rFonts w:ascii="Times New Roman" w:hAnsi="Times New Roman"/>
          <w:b/>
          <w:color w:val="313131"/>
          <w:sz w:val="24"/>
          <w:szCs w:val="24"/>
          <w:u w:val="single"/>
          <w:lang w:val="fr-FR"/>
        </w:rPr>
        <w:t>polyisoprène</w:t>
      </w:r>
      <w:proofErr w:type="spellEnd"/>
      <w:r w:rsidRPr="002F11AA">
        <w:rPr>
          <w:rFonts w:ascii="Times New Roman" w:hAnsi="Times New Roman"/>
          <w:b/>
          <w:color w:val="313131"/>
          <w:sz w:val="24"/>
          <w:szCs w:val="24"/>
          <w:u w:val="single"/>
          <w:lang w:val="fr-FR"/>
        </w:rPr>
        <w:t xml:space="preserve"> et chargés en 5-FU</w:t>
      </w:r>
    </w:p>
    <w:p w:rsidR="001271B4" w:rsidRPr="00833CD1" w:rsidRDefault="001271B4" w:rsidP="00AC7E0B">
      <w:pPr>
        <w:jc w:val="both"/>
        <w:rPr>
          <w:rFonts w:ascii="Times New Roman" w:hAnsi="Times New Roman"/>
          <w:color w:val="313131"/>
          <w:sz w:val="24"/>
          <w:szCs w:val="24"/>
          <w:lang w:val="fr-FR"/>
        </w:rPr>
      </w:pPr>
    </w:p>
    <w:p w:rsidR="001271B4" w:rsidRPr="000D3557" w:rsidRDefault="001271B4" w:rsidP="000D3557">
      <w:pPr>
        <w:spacing w:after="0" w:line="240" w:lineRule="auto"/>
        <w:jc w:val="both"/>
        <w:rPr>
          <w:rFonts w:ascii="Times New Roman" w:hAnsi="Times New Roman"/>
          <w:color w:val="000000"/>
          <w:sz w:val="20"/>
          <w:szCs w:val="24"/>
          <w:lang w:val="fr-FR"/>
        </w:rPr>
        <w:sectPr w:rsidR="001271B4" w:rsidRPr="000D3557">
          <w:headerReference w:type="default" r:id="rId6"/>
          <w:type w:val="continuous"/>
          <w:pgSz w:w="11900" w:h="16840"/>
          <w:pgMar w:top="874" w:right="1417" w:bottom="1134" w:left="1560" w:header="426" w:footer="708" w:gutter="0"/>
          <w:cols w:space="1142"/>
          <w:docGrid w:linePitch="360"/>
        </w:sectPr>
      </w:pPr>
    </w:p>
    <w:p w:rsidR="001271B4" w:rsidRPr="00EC01BB" w:rsidRDefault="00DF0A08" w:rsidP="002F11AA">
      <w:pPr>
        <w:spacing w:after="0"/>
        <w:ind w:left="-567" w:right="-574"/>
        <w:jc w:val="both"/>
        <w:rPr>
          <w:rFonts w:ascii="Times New Roman" w:hAnsi="Times New Roman"/>
          <w:noProof/>
          <w:sz w:val="24"/>
          <w:szCs w:val="24"/>
          <w:lang w:val="fr-FR"/>
        </w:rPr>
      </w:pPr>
      <w:r>
        <w:rPr>
          <w:noProof/>
          <w:lang w:val="fr-FR"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left:0;text-align:left;margin-left:52.2pt;margin-top:127.9pt;width:360.8pt;height:202.7pt;z-index:251658240;visibility:visible">
            <v:imagedata r:id="rId7" o:title=""/>
            <w10:wrap type="square"/>
          </v:shape>
        </w:pict>
      </w:r>
      <w:r w:rsidR="001271B4" w:rsidRPr="00EC01BB">
        <w:rPr>
          <w:rFonts w:ascii="Times New Roman" w:hAnsi="Times New Roman"/>
          <w:noProof/>
          <w:sz w:val="24"/>
          <w:szCs w:val="24"/>
          <w:lang w:val="fr-FR"/>
        </w:rPr>
        <w:t>La centralisation hospitalière, sous couvert pharmaceutique, du façonnage des anticancéreux est devenue obligation légale en France. D’autre part, à l’accroissement du nombre de combinaisons thérapeutiques et du nombre absolu de patients concernés par les chimiothérapies, se sont ajoutés l’individualisation et la complexification de schémas posologiques adaptés au poids, à la surface corporelle ou encore à l’état fonctionnel rénal, hépatique et cardiaque des patients. Dans ce contexte</w:t>
      </w:r>
      <w:r w:rsidR="001271B4">
        <w:rPr>
          <w:rFonts w:ascii="Times New Roman" w:hAnsi="Times New Roman"/>
          <w:noProof/>
          <w:sz w:val="24"/>
          <w:szCs w:val="24"/>
          <w:lang w:val="fr-FR"/>
        </w:rPr>
        <w:t xml:space="preserve"> multifactoriel</w:t>
      </w:r>
      <w:r w:rsidR="001271B4" w:rsidRPr="00EC01BB">
        <w:rPr>
          <w:rFonts w:ascii="Times New Roman" w:hAnsi="Times New Roman"/>
          <w:noProof/>
          <w:sz w:val="24"/>
          <w:szCs w:val="24"/>
          <w:lang w:val="fr-FR"/>
        </w:rPr>
        <w:t xml:space="preserve">, le déploiement d’outils robustes de Contrôle de Qualité Analytique (CQA) apparaît comme un fort contributeur à la sécurisation du circuit du médicament. </w:t>
      </w:r>
      <w:r w:rsidR="001271B4" w:rsidRPr="00EC01BB">
        <w:rPr>
          <w:rFonts w:ascii="Times New Roman" w:hAnsi="Times New Roman"/>
          <w:noProof/>
          <w:sz w:val="24"/>
          <w:szCs w:val="24"/>
          <w:lang w:val="fr-FR" w:eastAsia="fr-FR"/>
        </w:rPr>
        <w:t>La présente investigation compare la pertinence relative de deux solutions analytiques à finalité de CQA des solutions thérapeutiques façonnées en milieu de soins ; nous parlons d’Objets Thérapeutiques (OTs).</w:t>
      </w:r>
      <w:r w:rsidR="001271B4" w:rsidRPr="00EC01BB">
        <w:rPr>
          <w:rFonts w:ascii="Times New Roman" w:hAnsi="Times New Roman"/>
          <w:noProof/>
          <w:sz w:val="24"/>
          <w:szCs w:val="24"/>
          <w:lang w:val="fr-FR"/>
        </w:rPr>
        <w:t xml:space="preserve">Le modèle d’étude est celui d’un OT très usité en oncologie formé par un diffuseur portable (DP) à membrane de polyisoprène et chargé en 5-fluorouracile (5-FU). Nous avons comparé les qualités et les performances de la Spectroscopie Raman (SR) </w:t>
      </w:r>
      <w:r w:rsidR="001271B4" w:rsidRPr="00BA6E01">
        <w:rPr>
          <w:rFonts w:ascii="Times New Roman" w:hAnsi="Times New Roman"/>
          <w:i/>
          <w:noProof/>
          <w:sz w:val="24"/>
          <w:szCs w:val="24"/>
          <w:lang w:val="fr-FR"/>
        </w:rPr>
        <w:t>vs.</w:t>
      </w:r>
      <w:r w:rsidR="001271B4" w:rsidRPr="00EC01BB">
        <w:rPr>
          <w:rFonts w:ascii="Times New Roman" w:hAnsi="Times New Roman"/>
          <w:noProof/>
          <w:sz w:val="24"/>
          <w:szCs w:val="24"/>
          <w:lang w:val="fr-FR"/>
        </w:rPr>
        <w:t xml:space="preserve"> la référence,</w:t>
      </w:r>
      <w:r w:rsidR="001271B4">
        <w:rPr>
          <w:rFonts w:ascii="Times New Roman" w:hAnsi="Times New Roman"/>
          <w:noProof/>
          <w:sz w:val="24"/>
          <w:szCs w:val="24"/>
          <w:lang w:val="fr-FR"/>
        </w:rPr>
        <w:t xml:space="preserve"> </w:t>
      </w:r>
      <w:r w:rsidR="001271B4" w:rsidRPr="00EC01BB">
        <w:rPr>
          <w:rFonts w:ascii="Times New Roman" w:hAnsi="Times New Roman"/>
          <w:i/>
          <w:noProof/>
          <w:sz w:val="24"/>
          <w:szCs w:val="24"/>
          <w:lang w:val="fr-FR"/>
        </w:rPr>
        <w:t>i.e.</w:t>
      </w:r>
      <w:r w:rsidR="001271B4" w:rsidRPr="00EC01BB">
        <w:rPr>
          <w:rFonts w:ascii="Times New Roman" w:hAnsi="Times New Roman"/>
          <w:noProof/>
          <w:sz w:val="24"/>
          <w:szCs w:val="24"/>
          <w:lang w:val="fr-FR"/>
        </w:rPr>
        <w:t xml:space="preserve"> la Chromatographie Liquide Haute Performance (CLHP). Les 2 techniques analytiques fournissent des résultats satisfaisants pour les critères clés de répétabilité, de reproductibilité et de justesse. Des tests de corrélation de Spearman et de Kendall confirment la forte corrélation entre les mesures conduites par SR et par CLHP. Une analyse chimiométrique des données spectrale Raman par régression PLS (Partial Least Square) </w:t>
      </w:r>
      <w:r w:rsidR="001271B4" w:rsidRPr="00EC01BB">
        <w:rPr>
          <w:rFonts w:ascii="Times New Roman" w:hAnsi="Times New Roman"/>
          <w:i/>
          <w:noProof/>
          <w:sz w:val="24"/>
          <w:szCs w:val="24"/>
          <w:lang w:val="fr-FR"/>
        </w:rPr>
        <w:t xml:space="preserve">vs. </w:t>
      </w:r>
      <w:r w:rsidR="001271B4" w:rsidRPr="00EC01BB">
        <w:rPr>
          <w:rFonts w:ascii="Times New Roman" w:hAnsi="Times New Roman"/>
          <w:noProof/>
          <w:sz w:val="24"/>
          <w:szCs w:val="24"/>
          <w:lang w:val="fr-FR"/>
        </w:rPr>
        <w:t>régression linéaire empirique a été réalisée ; la régression PLS améliore sensiblement la fiabilité des résultats obtenus en SR. Dans la perspective d’un CQA dit Libératoire (conduit avant administration au patient), la SR affiche plusieurs avantages décisifs : a) statuer rapidement (~2 min), simultanément et sans intrusion, sur la nature d’un conditionnement, sur celle d’un véhicule et du composé d’intérêt, b) explorer qualitativement et quantitativement des OTs de toutes géométries (dont des DPs), c) la sécurité des opérateurs est garantie en per-production et au laboratoire, d) la suppression des  rejets ou de déchets analytiques préserve l’environnement, e) l’absence de biens consommables, f) un coût de maintenance négligeable, g) un faible coût de formation des opérateurs. Les données rapportées désignent d’ores et déjà l’option SR comme un fort contributeur à la sécurisation du circuit du médicament et à la lutte contre la iatrogénie médicamenteuse.</w:t>
      </w:r>
    </w:p>
    <w:p w:rsidR="001271B4" w:rsidRDefault="001271B4" w:rsidP="00554707">
      <w:pPr>
        <w:spacing w:after="0"/>
        <w:jc w:val="center"/>
        <w:rPr>
          <w:rFonts w:ascii="Times New Roman" w:hAnsi="Times New Roman"/>
          <w:color w:val="000000"/>
          <w:sz w:val="20"/>
          <w:szCs w:val="20"/>
          <w:lang w:val="fr-FR"/>
        </w:rPr>
      </w:pPr>
    </w:p>
    <w:p w:rsidR="001271B4" w:rsidRDefault="001271B4" w:rsidP="00192F4D">
      <w:pPr>
        <w:spacing w:after="0"/>
        <w:ind w:right="-716" w:hanging="709"/>
        <w:jc w:val="center"/>
        <w:rPr>
          <w:rFonts w:ascii="Times New Roman" w:hAnsi="Times New Roman"/>
          <w:color w:val="000000"/>
          <w:sz w:val="20"/>
          <w:szCs w:val="20"/>
          <w:lang w:val="fr-FR"/>
        </w:rPr>
      </w:pPr>
      <w:r>
        <w:rPr>
          <w:rFonts w:ascii="Times New Roman" w:hAnsi="Times New Roman"/>
          <w:color w:val="000000"/>
          <w:sz w:val="20"/>
          <w:szCs w:val="20"/>
          <w:lang w:val="fr-FR"/>
        </w:rPr>
        <w:t>Alexandre Amin, Philippe Bourget</w:t>
      </w:r>
    </w:p>
    <w:p w:rsidR="001271B4" w:rsidRDefault="001271B4" w:rsidP="00554707">
      <w:pPr>
        <w:spacing w:after="0"/>
        <w:jc w:val="center"/>
        <w:rPr>
          <w:rFonts w:ascii="Times New Roman" w:hAnsi="Times New Roman"/>
          <w:color w:val="000000"/>
          <w:sz w:val="20"/>
          <w:szCs w:val="20"/>
          <w:lang w:val="fr-FR"/>
        </w:rPr>
      </w:pPr>
      <w:r>
        <w:rPr>
          <w:rFonts w:ascii="Times New Roman" w:hAnsi="Times New Roman"/>
          <w:color w:val="000000"/>
          <w:sz w:val="20"/>
          <w:szCs w:val="20"/>
          <w:lang w:val="fr-FR"/>
        </w:rPr>
        <w:t>HU Necker Enfants-Malades, Paris, France</w:t>
      </w:r>
    </w:p>
    <w:p w:rsidR="00DF0A08" w:rsidRPr="00DF0A08" w:rsidRDefault="00DF0A08" w:rsidP="00DF0A08">
      <w:pPr>
        <w:spacing w:after="0"/>
        <w:ind w:right="-574" w:hanging="567"/>
        <w:jc w:val="center"/>
        <w:rPr>
          <w:rFonts w:ascii="Times New Roman" w:hAnsi="Times New Roman"/>
          <w:color w:val="000000"/>
          <w:sz w:val="20"/>
          <w:szCs w:val="20"/>
          <w:lang w:val="fr-FR"/>
        </w:rPr>
      </w:pPr>
      <w:hyperlink r:id="rId8" w:history="1">
        <w:r w:rsidRPr="00DF0A08">
          <w:rPr>
            <w:rStyle w:val="Lienhypertexte"/>
            <w:rFonts w:ascii="Times New Roman" w:hAnsi="Times New Roman"/>
            <w:sz w:val="20"/>
            <w:szCs w:val="20"/>
            <w:lang w:val="fr-FR"/>
          </w:rPr>
          <w:t>https://www.researchgate.net/profile/Alexandre_Amin/</w:t>
        </w:r>
      </w:hyperlink>
      <w:bookmarkStart w:id="0" w:name="_GoBack"/>
      <w:bookmarkEnd w:id="0"/>
    </w:p>
    <w:p w:rsidR="001271B4" w:rsidRPr="00BA10F4" w:rsidRDefault="001271B4" w:rsidP="000D3557">
      <w:pPr>
        <w:spacing w:after="0"/>
        <w:jc w:val="center"/>
        <w:rPr>
          <w:rFonts w:ascii="Times" w:hAnsi="Times"/>
          <w:lang w:val="en-GB"/>
        </w:rPr>
      </w:pPr>
      <w:proofErr w:type="spellStart"/>
      <w:proofErr w:type="gramStart"/>
      <w:r w:rsidRPr="00BA10F4">
        <w:rPr>
          <w:rFonts w:ascii="Times New Roman" w:hAnsi="Times New Roman"/>
          <w:color w:val="000000"/>
          <w:sz w:val="20"/>
          <w:szCs w:val="20"/>
          <w:lang w:val="en-GB"/>
        </w:rPr>
        <w:t>doi</w:t>
      </w:r>
      <w:proofErr w:type="spellEnd"/>
      <w:r w:rsidRPr="00BA10F4">
        <w:rPr>
          <w:rFonts w:ascii="Times New Roman" w:hAnsi="Times New Roman"/>
          <w:color w:val="000000"/>
          <w:sz w:val="20"/>
          <w:szCs w:val="20"/>
          <w:lang w:val="en-GB"/>
        </w:rPr>
        <w:t> :</w:t>
      </w:r>
      <w:proofErr w:type="gramEnd"/>
      <w:r w:rsidRPr="00BA10F4">
        <w:rPr>
          <w:rFonts w:ascii="Times New Roman" w:hAnsi="Times New Roman"/>
          <w:color w:val="000000"/>
          <w:sz w:val="20"/>
          <w:szCs w:val="20"/>
          <w:lang w:val="en-GB"/>
        </w:rPr>
        <w:t xml:space="preserve"> 10.1016/j.jpba.2013.12.030</w:t>
      </w:r>
    </w:p>
    <w:sectPr w:rsidR="001271B4" w:rsidRPr="00BA10F4" w:rsidSect="00A646C4">
      <w:type w:val="continuous"/>
      <w:pgSz w:w="11900" w:h="16840"/>
      <w:pgMar w:top="1560" w:right="1417" w:bottom="709" w:left="1417" w:header="426" w:footer="708" w:gutter="0"/>
      <w:cols w:num="2" w:space="199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1B4" w:rsidRDefault="001271B4" w:rsidP="00357CC9">
      <w:r>
        <w:separator/>
      </w:r>
    </w:p>
  </w:endnote>
  <w:endnote w:type="continuationSeparator" w:id="0">
    <w:p w:rsidR="001271B4" w:rsidRDefault="001271B4" w:rsidP="00357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Apple Chancery">
    <w:altName w:val="Courier New"/>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1B4" w:rsidRDefault="001271B4" w:rsidP="00357CC9">
      <w:r>
        <w:separator/>
      </w:r>
    </w:p>
  </w:footnote>
  <w:footnote w:type="continuationSeparator" w:id="0">
    <w:p w:rsidR="001271B4" w:rsidRDefault="001271B4" w:rsidP="00357C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1B4" w:rsidRPr="00357CC9" w:rsidRDefault="00DF0A08" w:rsidP="0035648D">
    <w:pPr>
      <w:pStyle w:val="En-tte"/>
      <w:ind w:left="-709" w:right="-1282"/>
      <w:rPr>
        <w:rFonts w:ascii="Apple Chancery" w:hAnsi="Apple Chancery" w:cs="Apple Chancery"/>
        <w: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2049" type="#_x0000_t75" style="position:absolute;left:0;text-align:left;margin-left:420.4pt;margin-top:-15.2pt;width:52.2pt;height:54.9pt;z-index:-251658752;visibility:visible" wrapcoords="10183 1184 7406 1479 2777 4734 2160 8285 1851 12132 2777 15386 6789 20121 6480 20416 6480 21008 7406 21304 15429 21304 16046 21304 16046 20121 18823 15386 20366 10652 20057 6510 19440 4734 15120 1775 12651 1184 10183 1184">
          <v:imagedata r:id="rId1" o:title=""/>
          <w10:wrap type="through"/>
        </v:shape>
      </w:pict>
    </w:r>
    <w:proofErr w:type="spellStart"/>
    <w:r w:rsidR="001271B4" w:rsidRPr="00B00A5E">
      <w:rPr>
        <w:rFonts w:ascii="Apple Chancery" w:hAnsi="Apple Chancery" w:cs="Apple Chancery"/>
        <w:b/>
        <w:i/>
        <w:iCs/>
        <w:color w:val="808080"/>
        <w:spacing w:val="-20"/>
        <w:position w:val="62"/>
        <w:sz w:val="20"/>
        <w:szCs w:val="20"/>
      </w:rPr>
      <w:t>J</w:t>
    </w:r>
    <w:r w:rsidR="001271B4" w:rsidRPr="00B00A5E">
      <w:rPr>
        <w:rFonts w:ascii="Apple Chancery" w:hAnsi="Apple Chancery" w:cs="Apple Chancery"/>
        <w:i/>
        <w:iCs/>
        <w:color w:val="808080"/>
        <w:spacing w:val="-20"/>
        <w:position w:val="62"/>
        <w:sz w:val="20"/>
        <w:szCs w:val="20"/>
      </w:rPr>
      <w:t>P</w:t>
    </w:r>
    <w:r w:rsidR="001271B4" w:rsidRPr="00B00A5E">
      <w:rPr>
        <w:rFonts w:ascii="Apple Chancery" w:hAnsi="Apple Chancery" w:cs="Apple Chancery"/>
        <w:i/>
        <w:iCs/>
        <w:color w:val="808080"/>
        <w:position w:val="62"/>
        <w:sz w:val="20"/>
        <w:szCs w:val="20"/>
      </w:rPr>
      <w:t>aS</w:t>
    </w:r>
    <w:proofErr w:type="spellEnd"/>
    <w:r w:rsidR="001271B4" w:rsidRPr="00B00A5E">
      <w:rPr>
        <w:rFonts w:ascii="Apple Chancery" w:hAnsi="Apple Chancery" w:cs="Apple Chancery"/>
        <w:i/>
        <w:iCs/>
        <w:color w:val="808080"/>
        <w:position w:val="62"/>
        <w:sz w:val="20"/>
        <w:szCs w:val="20"/>
      </w:rPr>
      <w:t xml:space="preserve"> Février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drawingGridHorizontalSpacing w:val="57"/>
  <w:drawingGridVerticalSpacing w:val="57"/>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82DBA"/>
    <w:rsid w:val="000002A4"/>
    <w:rsid w:val="0001190F"/>
    <w:rsid w:val="00037B39"/>
    <w:rsid w:val="00046326"/>
    <w:rsid w:val="00052D29"/>
    <w:rsid w:val="000926A7"/>
    <w:rsid w:val="000D29CB"/>
    <w:rsid w:val="000D3557"/>
    <w:rsid w:val="000F7CBF"/>
    <w:rsid w:val="00100434"/>
    <w:rsid w:val="00112811"/>
    <w:rsid w:val="001271B4"/>
    <w:rsid w:val="00153A8B"/>
    <w:rsid w:val="00156A63"/>
    <w:rsid w:val="00164CA7"/>
    <w:rsid w:val="00165991"/>
    <w:rsid w:val="00192F4D"/>
    <w:rsid w:val="002132C6"/>
    <w:rsid w:val="00236161"/>
    <w:rsid w:val="00246F0B"/>
    <w:rsid w:val="00260E13"/>
    <w:rsid w:val="00295201"/>
    <w:rsid w:val="002A2EF4"/>
    <w:rsid w:val="002B6D8E"/>
    <w:rsid w:val="002D06E1"/>
    <w:rsid w:val="002F11AA"/>
    <w:rsid w:val="002F1556"/>
    <w:rsid w:val="003125EA"/>
    <w:rsid w:val="00343C25"/>
    <w:rsid w:val="0035648D"/>
    <w:rsid w:val="00357CC9"/>
    <w:rsid w:val="00381C6F"/>
    <w:rsid w:val="00387BCC"/>
    <w:rsid w:val="003D3D4D"/>
    <w:rsid w:val="003D6A21"/>
    <w:rsid w:val="003E0A19"/>
    <w:rsid w:val="00421D89"/>
    <w:rsid w:val="00460FEA"/>
    <w:rsid w:val="00471D0F"/>
    <w:rsid w:val="004A3661"/>
    <w:rsid w:val="004B2719"/>
    <w:rsid w:val="004C6932"/>
    <w:rsid w:val="004F54B7"/>
    <w:rsid w:val="0052789A"/>
    <w:rsid w:val="00554707"/>
    <w:rsid w:val="00590770"/>
    <w:rsid w:val="00595254"/>
    <w:rsid w:val="005C7A84"/>
    <w:rsid w:val="00613657"/>
    <w:rsid w:val="00653FA6"/>
    <w:rsid w:val="00672286"/>
    <w:rsid w:val="00691109"/>
    <w:rsid w:val="0069301A"/>
    <w:rsid w:val="006962FF"/>
    <w:rsid w:val="00720F74"/>
    <w:rsid w:val="0075488D"/>
    <w:rsid w:val="0076042B"/>
    <w:rsid w:val="0076059B"/>
    <w:rsid w:val="007B0BF5"/>
    <w:rsid w:val="007E437D"/>
    <w:rsid w:val="0081092F"/>
    <w:rsid w:val="00833CD1"/>
    <w:rsid w:val="008637BC"/>
    <w:rsid w:val="008F2B99"/>
    <w:rsid w:val="008F2D3C"/>
    <w:rsid w:val="0091258F"/>
    <w:rsid w:val="0095480D"/>
    <w:rsid w:val="009813C5"/>
    <w:rsid w:val="00985493"/>
    <w:rsid w:val="009D0F8C"/>
    <w:rsid w:val="009E5699"/>
    <w:rsid w:val="00A04860"/>
    <w:rsid w:val="00A115B8"/>
    <w:rsid w:val="00A5034F"/>
    <w:rsid w:val="00A646C4"/>
    <w:rsid w:val="00A646D4"/>
    <w:rsid w:val="00A821FA"/>
    <w:rsid w:val="00A91493"/>
    <w:rsid w:val="00AA06C1"/>
    <w:rsid w:val="00AC7E0B"/>
    <w:rsid w:val="00AE0787"/>
    <w:rsid w:val="00B00A5E"/>
    <w:rsid w:val="00B1179A"/>
    <w:rsid w:val="00B145B5"/>
    <w:rsid w:val="00B46CB6"/>
    <w:rsid w:val="00BA10F4"/>
    <w:rsid w:val="00BA6E01"/>
    <w:rsid w:val="00C05F4A"/>
    <w:rsid w:val="00C131E9"/>
    <w:rsid w:val="00C26170"/>
    <w:rsid w:val="00C34373"/>
    <w:rsid w:val="00C36A1A"/>
    <w:rsid w:val="00C85B29"/>
    <w:rsid w:val="00CA5CBC"/>
    <w:rsid w:val="00CB2704"/>
    <w:rsid w:val="00CC33E0"/>
    <w:rsid w:val="00CC3DB1"/>
    <w:rsid w:val="00CD1A51"/>
    <w:rsid w:val="00CD20CC"/>
    <w:rsid w:val="00CE0D02"/>
    <w:rsid w:val="00D25DD3"/>
    <w:rsid w:val="00D63459"/>
    <w:rsid w:val="00D73143"/>
    <w:rsid w:val="00D74392"/>
    <w:rsid w:val="00D82DBA"/>
    <w:rsid w:val="00DA594E"/>
    <w:rsid w:val="00DB25F0"/>
    <w:rsid w:val="00DF0A08"/>
    <w:rsid w:val="00E44F11"/>
    <w:rsid w:val="00E861DA"/>
    <w:rsid w:val="00E95ED2"/>
    <w:rsid w:val="00EC01BB"/>
    <w:rsid w:val="00F01FE4"/>
    <w:rsid w:val="00F070EB"/>
    <w:rsid w:val="00F07C86"/>
    <w:rsid w:val="00FA27CC"/>
    <w:rsid w:val="00FD21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4A4D3DA8-7343-416A-9EAE-CE6C3C7A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E0B"/>
    <w:pPr>
      <w:spacing w:after="200" w:line="276" w:lineRule="auto"/>
    </w:pPr>
    <w:rPr>
      <w:lang w:val="es-E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rsid w:val="00A04860"/>
    <w:rPr>
      <w:rFonts w:cs="Times New Roman"/>
      <w:color w:val="0000FF"/>
      <w:u w:val="single"/>
    </w:rPr>
  </w:style>
  <w:style w:type="paragraph" w:styleId="Textedebulles">
    <w:name w:val="Balloon Text"/>
    <w:basedOn w:val="Normal"/>
    <w:link w:val="TextedebullesCar"/>
    <w:uiPriority w:val="99"/>
    <w:semiHidden/>
    <w:rsid w:val="008F2D3C"/>
    <w:pPr>
      <w:spacing w:after="0" w:line="240" w:lineRule="auto"/>
    </w:pPr>
    <w:rPr>
      <w:rFonts w:ascii="Lucida Grande" w:hAnsi="Lucida Grande"/>
      <w:sz w:val="18"/>
      <w:szCs w:val="18"/>
      <w:lang w:val="fr-FR" w:eastAsia="fr-FR"/>
    </w:rPr>
  </w:style>
  <w:style w:type="character" w:customStyle="1" w:styleId="TextedebullesCar">
    <w:name w:val="Texte de bulles Car"/>
    <w:basedOn w:val="Policepardfaut"/>
    <w:link w:val="Textedebulles"/>
    <w:uiPriority w:val="99"/>
    <w:semiHidden/>
    <w:locked/>
    <w:rsid w:val="008F2D3C"/>
    <w:rPr>
      <w:rFonts w:ascii="Lucida Grande" w:hAnsi="Lucida Grande" w:cs="Times New Roman"/>
      <w:sz w:val="18"/>
    </w:rPr>
  </w:style>
  <w:style w:type="paragraph" w:styleId="En-tte">
    <w:name w:val="header"/>
    <w:basedOn w:val="Normal"/>
    <w:link w:val="En-tteCar"/>
    <w:uiPriority w:val="99"/>
    <w:rsid w:val="00357CC9"/>
    <w:pPr>
      <w:tabs>
        <w:tab w:val="center" w:pos="4703"/>
        <w:tab w:val="right" w:pos="9406"/>
      </w:tabs>
      <w:spacing w:after="0" w:line="240" w:lineRule="auto"/>
    </w:pPr>
    <w:rPr>
      <w:sz w:val="24"/>
      <w:szCs w:val="24"/>
      <w:lang w:val="fr-FR" w:eastAsia="fr-FR"/>
    </w:rPr>
  </w:style>
  <w:style w:type="character" w:customStyle="1" w:styleId="En-tteCar">
    <w:name w:val="En-tête Car"/>
    <w:basedOn w:val="Policepardfaut"/>
    <w:link w:val="En-tte"/>
    <w:uiPriority w:val="99"/>
    <w:locked/>
    <w:rsid w:val="00357CC9"/>
    <w:rPr>
      <w:rFonts w:cs="Times New Roman"/>
    </w:rPr>
  </w:style>
  <w:style w:type="paragraph" w:styleId="Pieddepage">
    <w:name w:val="footer"/>
    <w:basedOn w:val="Normal"/>
    <w:link w:val="PieddepageCar"/>
    <w:uiPriority w:val="99"/>
    <w:rsid w:val="00357CC9"/>
    <w:pPr>
      <w:tabs>
        <w:tab w:val="center" w:pos="4703"/>
        <w:tab w:val="right" w:pos="9406"/>
      </w:tabs>
      <w:spacing w:after="0" w:line="240" w:lineRule="auto"/>
    </w:pPr>
    <w:rPr>
      <w:sz w:val="24"/>
      <w:szCs w:val="24"/>
      <w:lang w:val="fr-FR" w:eastAsia="fr-FR"/>
    </w:rPr>
  </w:style>
  <w:style w:type="character" w:customStyle="1" w:styleId="PieddepageCar">
    <w:name w:val="Pied de page Car"/>
    <w:basedOn w:val="Policepardfaut"/>
    <w:link w:val="Pieddepage"/>
    <w:uiPriority w:val="99"/>
    <w:locked/>
    <w:rsid w:val="00357CC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399026">
      <w:marLeft w:val="0"/>
      <w:marRight w:val="0"/>
      <w:marTop w:val="0"/>
      <w:marBottom w:val="0"/>
      <w:divBdr>
        <w:top w:val="none" w:sz="0" w:space="0" w:color="auto"/>
        <w:left w:val="none" w:sz="0" w:space="0" w:color="auto"/>
        <w:bottom w:val="none" w:sz="0" w:space="0" w:color="auto"/>
        <w:right w:val="none" w:sz="0" w:space="0" w:color="auto"/>
      </w:divBdr>
      <w:divsChild>
        <w:div w:id="1238399038">
          <w:marLeft w:val="0"/>
          <w:marRight w:val="0"/>
          <w:marTop w:val="0"/>
          <w:marBottom w:val="0"/>
          <w:divBdr>
            <w:top w:val="none" w:sz="0" w:space="0" w:color="auto"/>
            <w:left w:val="none" w:sz="0" w:space="0" w:color="auto"/>
            <w:bottom w:val="none" w:sz="0" w:space="0" w:color="auto"/>
            <w:right w:val="none" w:sz="0" w:space="0" w:color="auto"/>
          </w:divBdr>
          <w:divsChild>
            <w:div w:id="1238399037">
              <w:marLeft w:val="0"/>
              <w:marRight w:val="0"/>
              <w:marTop w:val="0"/>
              <w:marBottom w:val="0"/>
              <w:divBdr>
                <w:top w:val="none" w:sz="0" w:space="0" w:color="auto"/>
                <w:left w:val="none" w:sz="0" w:space="0" w:color="auto"/>
                <w:bottom w:val="none" w:sz="0" w:space="0" w:color="auto"/>
                <w:right w:val="none" w:sz="0" w:space="0" w:color="auto"/>
              </w:divBdr>
              <w:divsChild>
                <w:div w:id="1238399031">
                  <w:marLeft w:val="0"/>
                  <w:marRight w:val="0"/>
                  <w:marTop w:val="0"/>
                  <w:marBottom w:val="0"/>
                  <w:divBdr>
                    <w:top w:val="none" w:sz="0" w:space="0" w:color="auto"/>
                    <w:left w:val="none" w:sz="0" w:space="0" w:color="auto"/>
                    <w:bottom w:val="none" w:sz="0" w:space="0" w:color="auto"/>
                    <w:right w:val="none" w:sz="0" w:space="0" w:color="auto"/>
                  </w:divBdr>
                  <w:divsChild>
                    <w:div w:id="1238399024">
                      <w:marLeft w:val="0"/>
                      <w:marRight w:val="0"/>
                      <w:marTop w:val="0"/>
                      <w:marBottom w:val="0"/>
                      <w:divBdr>
                        <w:top w:val="none" w:sz="0" w:space="0" w:color="auto"/>
                        <w:left w:val="none" w:sz="0" w:space="0" w:color="auto"/>
                        <w:bottom w:val="none" w:sz="0" w:space="0" w:color="auto"/>
                        <w:right w:val="none" w:sz="0" w:space="0" w:color="auto"/>
                      </w:divBdr>
                      <w:divsChild>
                        <w:div w:id="1238399039">
                          <w:marLeft w:val="0"/>
                          <w:marRight w:val="0"/>
                          <w:marTop w:val="0"/>
                          <w:marBottom w:val="0"/>
                          <w:divBdr>
                            <w:top w:val="none" w:sz="0" w:space="0" w:color="auto"/>
                            <w:left w:val="none" w:sz="0" w:space="0" w:color="auto"/>
                            <w:bottom w:val="none" w:sz="0" w:space="0" w:color="auto"/>
                            <w:right w:val="none" w:sz="0" w:space="0" w:color="auto"/>
                          </w:divBdr>
                          <w:divsChild>
                            <w:div w:id="1238399025">
                              <w:marLeft w:val="0"/>
                              <w:marRight w:val="0"/>
                              <w:marTop w:val="0"/>
                              <w:marBottom w:val="0"/>
                              <w:divBdr>
                                <w:top w:val="none" w:sz="0" w:space="0" w:color="auto"/>
                                <w:left w:val="none" w:sz="0" w:space="0" w:color="auto"/>
                                <w:bottom w:val="none" w:sz="0" w:space="0" w:color="auto"/>
                                <w:right w:val="none" w:sz="0" w:space="0" w:color="auto"/>
                              </w:divBdr>
                              <w:divsChild>
                                <w:div w:id="1238399016">
                                  <w:marLeft w:val="0"/>
                                  <w:marRight w:val="0"/>
                                  <w:marTop w:val="0"/>
                                  <w:marBottom w:val="0"/>
                                  <w:divBdr>
                                    <w:top w:val="none" w:sz="0" w:space="0" w:color="auto"/>
                                    <w:left w:val="none" w:sz="0" w:space="0" w:color="auto"/>
                                    <w:bottom w:val="none" w:sz="0" w:space="0" w:color="auto"/>
                                    <w:right w:val="none" w:sz="0" w:space="0" w:color="auto"/>
                                  </w:divBdr>
                                  <w:divsChild>
                                    <w:div w:id="1238399019">
                                      <w:marLeft w:val="35"/>
                                      <w:marRight w:val="0"/>
                                      <w:marTop w:val="0"/>
                                      <w:marBottom w:val="0"/>
                                      <w:divBdr>
                                        <w:top w:val="none" w:sz="0" w:space="0" w:color="auto"/>
                                        <w:left w:val="none" w:sz="0" w:space="0" w:color="auto"/>
                                        <w:bottom w:val="none" w:sz="0" w:space="0" w:color="auto"/>
                                        <w:right w:val="none" w:sz="0" w:space="0" w:color="auto"/>
                                      </w:divBdr>
                                      <w:divsChild>
                                        <w:div w:id="1238399028">
                                          <w:marLeft w:val="0"/>
                                          <w:marRight w:val="0"/>
                                          <w:marTop w:val="0"/>
                                          <w:marBottom w:val="0"/>
                                          <w:divBdr>
                                            <w:top w:val="none" w:sz="0" w:space="0" w:color="auto"/>
                                            <w:left w:val="none" w:sz="0" w:space="0" w:color="auto"/>
                                            <w:bottom w:val="none" w:sz="0" w:space="0" w:color="auto"/>
                                            <w:right w:val="none" w:sz="0" w:space="0" w:color="auto"/>
                                          </w:divBdr>
                                          <w:divsChild>
                                            <w:div w:id="1238399023">
                                              <w:marLeft w:val="0"/>
                                              <w:marRight w:val="0"/>
                                              <w:marTop w:val="0"/>
                                              <w:marBottom w:val="71"/>
                                              <w:divBdr>
                                                <w:top w:val="single" w:sz="4" w:space="0" w:color="F5F5F5"/>
                                                <w:left w:val="single" w:sz="4" w:space="0" w:color="F5F5F5"/>
                                                <w:bottom w:val="single" w:sz="4" w:space="0" w:color="F5F5F5"/>
                                                <w:right w:val="single" w:sz="4" w:space="0" w:color="F5F5F5"/>
                                              </w:divBdr>
                                              <w:divsChild>
                                                <w:div w:id="1238399032">
                                                  <w:marLeft w:val="0"/>
                                                  <w:marRight w:val="0"/>
                                                  <w:marTop w:val="0"/>
                                                  <w:marBottom w:val="0"/>
                                                  <w:divBdr>
                                                    <w:top w:val="none" w:sz="0" w:space="0" w:color="auto"/>
                                                    <w:left w:val="none" w:sz="0" w:space="0" w:color="auto"/>
                                                    <w:bottom w:val="none" w:sz="0" w:space="0" w:color="auto"/>
                                                    <w:right w:val="none" w:sz="0" w:space="0" w:color="auto"/>
                                                  </w:divBdr>
                                                  <w:divsChild>
                                                    <w:div w:id="12383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8399034">
      <w:marLeft w:val="0"/>
      <w:marRight w:val="0"/>
      <w:marTop w:val="0"/>
      <w:marBottom w:val="0"/>
      <w:divBdr>
        <w:top w:val="none" w:sz="0" w:space="0" w:color="auto"/>
        <w:left w:val="none" w:sz="0" w:space="0" w:color="auto"/>
        <w:bottom w:val="none" w:sz="0" w:space="0" w:color="auto"/>
        <w:right w:val="none" w:sz="0" w:space="0" w:color="auto"/>
      </w:divBdr>
      <w:divsChild>
        <w:div w:id="1238399033">
          <w:marLeft w:val="0"/>
          <w:marRight w:val="0"/>
          <w:marTop w:val="0"/>
          <w:marBottom w:val="0"/>
          <w:divBdr>
            <w:top w:val="none" w:sz="0" w:space="0" w:color="auto"/>
            <w:left w:val="none" w:sz="0" w:space="0" w:color="auto"/>
            <w:bottom w:val="none" w:sz="0" w:space="0" w:color="auto"/>
            <w:right w:val="none" w:sz="0" w:space="0" w:color="auto"/>
          </w:divBdr>
          <w:divsChild>
            <w:div w:id="1238399014">
              <w:marLeft w:val="0"/>
              <w:marRight w:val="0"/>
              <w:marTop w:val="0"/>
              <w:marBottom w:val="0"/>
              <w:divBdr>
                <w:top w:val="none" w:sz="0" w:space="0" w:color="auto"/>
                <w:left w:val="none" w:sz="0" w:space="0" w:color="auto"/>
                <w:bottom w:val="none" w:sz="0" w:space="0" w:color="auto"/>
                <w:right w:val="none" w:sz="0" w:space="0" w:color="auto"/>
              </w:divBdr>
              <w:divsChild>
                <w:div w:id="1238399022">
                  <w:marLeft w:val="0"/>
                  <w:marRight w:val="0"/>
                  <w:marTop w:val="0"/>
                  <w:marBottom w:val="0"/>
                  <w:divBdr>
                    <w:top w:val="none" w:sz="0" w:space="0" w:color="auto"/>
                    <w:left w:val="none" w:sz="0" w:space="0" w:color="auto"/>
                    <w:bottom w:val="none" w:sz="0" w:space="0" w:color="auto"/>
                    <w:right w:val="none" w:sz="0" w:space="0" w:color="auto"/>
                  </w:divBdr>
                  <w:divsChild>
                    <w:div w:id="1238399017">
                      <w:marLeft w:val="0"/>
                      <w:marRight w:val="0"/>
                      <w:marTop w:val="0"/>
                      <w:marBottom w:val="0"/>
                      <w:divBdr>
                        <w:top w:val="none" w:sz="0" w:space="0" w:color="auto"/>
                        <w:left w:val="none" w:sz="0" w:space="0" w:color="auto"/>
                        <w:bottom w:val="none" w:sz="0" w:space="0" w:color="auto"/>
                        <w:right w:val="none" w:sz="0" w:space="0" w:color="auto"/>
                      </w:divBdr>
                      <w:divsChild>
                        <w:div w:id="1238399036">
                          <w:marLeft w:val="0"/>
                          <w:marRight w:val="0"/>
                          <w:marTop w:val="0"/>
                          <w:marBottom w:val="0"/>
                          <w:divBdr>
                            <w:top w:val="none" w:sz="0" w:space="0" w:color="auto"/>
                            <w:left w:val="none" w:sz="0" w:space="0" w:color="auto"/>
                            <w:bottom w:val="none" w:sz="0" w:space="0" w:color="auto"/>
                            <w:right w:val="none" w:sz="0" w:space="0" w:color="auto"/>
                          </w:divBdr>
                          <w:divsChild>
                            <w:div w:id="1238399027">
                              <w:marLeft w:val="0"/>
                              <w:marRight w:val="0"/>
                              <w:marTop w:val="0"/>
                              <w:marBottom w:val="0"/>
                              <w:divBdr>
                                <w:top w:val="none" w:sz="0" w:space="0" w:color="auto"/>
                                <w:left w:val="none" w:sz="0" w:space="0" w:color="auto"/>
                                <w:bottom w:val="none" w:sz="0" w:space="0" w:color="auto"/>
                                <w:right w:val="none" w:sz="0" w:space="0" w:color="auto"/>
                              </w:divBdr>
                              <w:divsChild>
                                <w:div w:id="1238399021">
                                  <w:marLeft w:val="0"/>
                                  <w:marRight w:val="0"/>
                                  <w:marTop w:val="0"/>
                                  <w:marBottom w:val="0"/>
                                  <w:divBdr>
                                    <w:top w:val="none" w:sz="0" w:space="0" w:color="auto"/>
                                    <w:left w:val="none" w:sz="0" w:space="0" w:color="auto"/>
                                    <w:bottom w:val="none" w:sz="0" w:space="0" w:color="auto"/>
                                    <w:right w:val="none" w:sz="0" w:space="0" w:color="auto"/>
                                  </w:divBdr>
                                  <w:divsChild>
                                    <w:div w:id="1238399030">
                                      <w:marLeft w:val="35"/>
                                      <w:marRight w:val="0"/>
                                      <w:marTop w:val="0"/>
                                      <w:marBottom w:val="0"/>
                                      <w:divBdr>
                                        <w:top w:val="none" w:sz="0" w:space="0" w:color="auto"/>
                                        <w:left w:val="none" w:sz="0" w:space="0" w:color="auto"/>
                                        <w:bottom w:val="none" w:sz="0" w:space="0" w:color="auto"/>
                                        <w:right w:val="none" w:sz="0" w:space="0" w:color="auto"/>
                                      </w:divBdr>
                                      <w:divsChild>
                                        <w:div w:id="1238399020">
                                          <w:marLeft w:val="0"/>
                                          <w:marRight w:val="0"/>
                                          <w:marTop w:val="0"/>
                                          <w:marBottom w:val="0"/>
                                          <w:divBdr>
                                            <w:top w:val="none" w:sz="0" w:space="0" w:color="auto"/>
                                            <w:left w:val="none" w:sz="0" w:space="0" w:color="auto"/>
                                            <w:bottom w:val="none" w:sz="0" w:space="0" w:color="auto"/>
                                            <w:right w:val="none" w:sz="0" w:space="0" w:color="auto"/>
                                          </w:divBdr>
                                          <w:divsChild>
                                            <w:div w:id="1238399015">
                                              <w:marLeft w:val="0"/>
                                              <w:marRight w:val="0"/>
                                              <w:marTop w:val="0"/>
                                              <w:marBottom w:val="71"/>
                                              <w:divBdr>
                                                <w:top w:val="single" w:sz="4" w:space="0" w:color="F5F5F5"/>
                                                <w:left w:val="single" w:sz="4" w:space="0" w:color="F5F5F5"/>
                                                <w:bottom w:val="single" w:sz="4" w:space="0" w:color="F5F5F5"/>
                                                <w:right w:val="single" w:sz="4" w:space="0" w:color="F5F5F5"/>
                                              </w:divBdr>
                                              <w:divsChild>
                                                <w:div w:id="1238399018">
                                                  <w:marLeft w:val="0"/>
                                                  <w:marRight w:val="0"/>
                                                  <w:marTop w:val="0"/>
                                                  <w:marBottom w:val="0"/>
                                                  <w:divBdr>
                                                    <w:top w:val="none" w:sz="0" w:space="0" w:color="auto"/>
                                                    <w:left w:val="none" w:sz="0" w:space="0" w:color="auto"/>
                                                    <w:bottom w:val="none" w:sz="0" w:space="0" w:color="auto"/>
                                                    <w:right w:val="none" w:sz="0" w:space="0" w:color="auto"/>
                                                  </w:divBdr>
                                                  <w:divsChild>
                                                    <w:div w:id="12383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lexandre_Amin/"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464</Words>
  <Characters>2552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Application de la Spectroscopie Raman, une solution économique, sécurisée et fiable adaptée au Contrôle de Qualité Analytique Libératoire de Diffuseurs Portables à membrane de polyisoprène et chargés en 5-FU</vt:lpstr>
    </vt:vector>
  </TitlesOfParts>
  <Company>INRA</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 la Spectroscopie Raman, une solution économique, sécurisée et fiable adaptée au Contrôle de Qualité Analytique Libératoire de Diffuseurs Portables à membrane de polyisoprène et chargés en 5-FU</dc:title>
  <dc:subject/>
  <dc:creator>Benjamin Geffroy</dc:creator>
  <cp:keywords/>
  <dc:description/>
  <cp:lastModifiedBy>Alexandre AMIN</cp:lastModifiedBy>
  <cp:revision>3</cp:revision>
  <cp:lastPrinted>2014-02-20T13:32:00Z</cp:lastPrinted>
  <dcterms:created xsi:type="dcterms:W3CDTF">2014-02-20T14:32:00Z</dcterms:created>
  <dcterms:modified xsi:type="dcterms:W3CDTF">2014-02-20T18:04:00Z</dcterms:modified>
</cp:coreProperties>
</file>