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D78"/>
          <w:sz w:val="40"/>
        </w:rPr>
        <w:t>Submitting and Tracking IT Support Requests via the BlueStar Self-Service Portal</w:t>
      </w:r>
    </w:p>
    <w:p>
      <w:pPr>
        <w:spacing w:before="0" w:after="80"/>
      </w:pPr>
      <w:r>
        <w:rPr>
          <w:rFonts w:ascii="Arial" w:hAnsi="Arial"/>
          <w:b/>
          <w:i w:val="0"/>
          <w:color w:val="2E74B5"/>
          <w:sz w:val="22"/>
        </w:rPr>
        <w:t xml:space="preserve">KB006    </w:t>
      </w:r>
      <w:r>
        <w:rPr>
          <w:rFonts w:ascii="Arial" w:hAnsi="Arial"/>
          <w:b w:val="0"/>
          <w:i w:val="0"/>
          <w:color w:val="555555"/>
          <w:sz w:val="20"/>
        </w:rPr>
        <w:t xml:space="preserve">Category: General    </w:t>
      </w:r>
      <w:r>
        <w:rPr>
          <w:rFonts w:ascii="Arial" w:hAnsi="Arial"/>
          <w:b w:val="0"/>
          <w:i w:val="0"/>
          <w:color w:val="555555"/>
          <w:sz w:val="20"/>
        </w:rPr>
        <w:t>218 views</w:t>
      </w:r>
    </w:p>
    <w:p>
      <w:pPr>
        <w:spacing w:before="0" w:after="0"/>
        <w:pBdr>
          <w:bottom w:val="single" w:sz="6" w:space="1" w:color="2E74B5"/>
        </w:pBdr>
      </w:pPr>
    </w:p>
    <w:p>
      <w:pPr>
        <w:spacing w:before="120" w:after="160"/>
      </w:pPr>
      <w:r>
        <w:rPr>
          <w:rFonts w:ascii="Arial" w:hAnsi="Arial"/>
          <w:b w:val="0"/>
          <w:i/>
          <w:color w:val="444444"/>
          <w:sz w:val="20"/>
        </w:rPr>
        <w:t>[Applies to: BlueStar Airlines, Inc. — All Staff]</w:t>
      </w:r>
    </w:p>
    <w:p>
      <w:pPr>
        <w:spacing w:before="40" w:after="0"/>
        <w:shd w:val="clear" w:color="auto" w:fill="D6E4F0"/>
      </w:pPr>
      <w:r>
        <w:rPr>
          <w:rFonts w:ascii="Arial" w:hAnsi="Arial"/>
          <w:b/>
          <w:i w:val="0"/>
          <w:color w:val="1F4D78"/>
          <w:sz w:val="26"/>
        </w:rPr>
        <w:t>Summary</w:t>
      </w:r>
    </w:p>
    <w:p>
      <w:pPr>
        <w:spacing w:before="0" w:after="200"/>
        <w:shd w:val="clear" w:color="auto" w:fill="EEF4FA"/>
      </w:pPr>
      <w:r>
        <w:rPr>
          <w:rFonts w:ascii="Arial" w:hAnsi="Arial"/>
          <w:b w:val="0"/>
          <w:i w:val="0"/>
          <w:sz w:val="22"/>
        </w:rPr>
        <w:t>This article walks BlueStar Airlines employees through creating, updating, and tracking IT support tickets using the BlueStar IT Self-Service Portal (powered by ServiceNow). It covers how to choose the right request type, set priority, attach evidence, and escalate a ticket that has not received a response within the expected service window.</w:t>
      </w:r>
    </w:p>
    <w:p>
      <w:pPr>
        <w:spacing w:before="120" w:after="80"/>
      </w:pPr>
      <w:r>
        <w:rPr>
          <w:rFonts w:ascii="Arial" w:hAnsi="Arial"/>
          <w:b/>
          <w:i w:val="0"/>
          <w:color w:val="2E74B5"/>
          <w:sz w:val="32"/>
        </w:rPr>
        <w:t>Details</w:t>
      </w:r>
    </w:p>
    <w:p>
      <w:pPr>
        <w:spacing w:before="160" w:after="40"/>
      </w:pPr>
      <w:r>
        <w:rPr>
          <w:rFonts w:ascii="Arial" w:hAnsi="Arial"/>
          <w:b/>
          <w:i w:val="0"/>
          <w:color w:val="2E74B5"/>
          <w:sz w:val="26"/>
        </w:rPr>
        <w:t>Accessing the Self-Service Portal</w:t>
      </w:r>
    </w:p>
    <w:p>
      <w:pPr>
        <w:numPr>
          <w:ilvl w:val="0"/>
          <w:numId w:val="1"/>
        </w:numPr>
        <w:pStyle w:val="ListParagraph"/>
        <w:ind w:left="360"/>
      </w:pPr>
      <w:r>
        <w:rPr>
          <w:rFonts w:ascii="Arial" w:hAnsi="Arial"/>
          <w:sz w:val="22"/>
        </w:rPr>
        <w:t>Open a browser and go to https://it.bluestar.com. Sign in with your BlueStar SSO credentials.</w:t>
      </w:r>
    </w:p>
    <w:p>
      <w:pPr>
        <w:numPr>
          <w:ilvl w:val="0"/>
          <w:numId w:val="1"/>
        </w:numPr>
        <w:pStyle w:val="ListParagraph"/>
        <w:ind w:left="360"/>
      </w:pPr>
      <w:r>
        <w:rPr>
          <w:rFonts w:ascii="Arial" w:hAnsi="Arial"/>
          <w:sz w:val="22"/>
        </w:rPr>
        <w:t>On a mobile device, the portal is mobile-responsive — no separate app is required.</w:t>
      </w:r>
    </w:p>
    <w:p>
      <w:pPr>
        <w:numPr>
          <w:ilvl w:val="0"/>
          <w:numId w:val="1"/>
        </w:numPr>
        <w:pStyle w:val="ListParagraph"/>
        <w:ind w:left="360"/>
      </w:pPr>
      <w:r>
        <w:rPr>
          <w:rFonts w:ascii="Arial" w:hAnsi="Arial"/>
          <w:sz w:val="22"/>
        </w:rPr>
        <w:t>If you cannot access the portal due to a login or network issue, call the Helpdesk directly: 1-800-742-9300.</w:t>
      </w:r>
    </w:p>
    <w:p>
      <w:pPr>
        <w:spacing w:before="160" w:after="40"/>
      </w:pPr>
      <w:r>
        <w:rPr>
          <w:rFonts w:ascii="Arial" w:hAnsi="Arial"/>
          <w:b/>
          <w:i w:val="0"/>
          <w:color w:val="2E74B5"/>
          <w:sz w:val="26"/>
        </w:rPr>
        <w:t>Creating a Support Request</w:t>
      </w:r>
    </w:p>
    <w:p>
      <w:pPr>
        <w:spacing w:before="80" w:after="40"/>
      </w:pPr>
      <w:r>
        <w:rPr>
          <w:rFonts w:ascii="Arial" w:hAnsi="Arial"/>
          <w:b/>
          <w:i w:val="0"/>
          <w:color w:val="1F4D78"/>
          <w:sz w:val="22"/>
        </w:rPr>
        <w:t>Step 1 – Choose the Request Type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73"/>
        <w:gridCol w:w="4873"/>
      </w:tblGrid>
      <w:tr>
        <w:tc>
          <w:tcPr>
            <w:tcW w:type="dxa" w:w="4873"/>
            <w:shd w:val="clear" w:color="auto" w:fill="2E74B5"/>
          </w:tcPr>
          <w:p>
            <w:r>
              <w:rPr>
                <w:rFonts w:ascii="Arial" w:hAnsi="Arial"/>
                <w:b/>
                <w:color w:val="FFFFFF"/>
                <w:sz w:val="20"/>
              </w:rPr>
              <w:t>Request Type</w:t>
            </w:r>
          </w:p>
        </w:tc>
        <w:tc>
          <w:tcPr>
            <w:tcW w:type="dxa" w:w="4873"/>
            <w:shd w:val="clear" w:color="auto" w:fill="2E74B5"/>
          </w:tcPr>
          <w:p>
            <w:r>
              <w:rPr>
                <w:rFonts w:ascii="Arial" w:hAnsi="Arial"/>
                <w:b/>
                <w:color w:val="FFFFFF"/>
                <w:sz w:val="20"/>
              </w:rPr>
              <w:t>Use For</w:t>
            </w:r>
          </w:p>
        </w:tc>
      </w:tr>
      <w:tr>
        <w:tc>
          <w:tcPr>
            <w:tcW w:type="dxa" w:w="4873"/>
            <w:shd w:val="clear" w:color="auto" w:fill="EEF4FA"/>
          </w:tcPr>
          <w:p>
            <w:r>
              <w:rPr>
                <w:rFonts w:ascii="Arial" w:hAnsi="Arial"/>
                <w:sz w:val="20"/>
              </w:rPr>
              <w:t>Incident</w:t>
            </w:r>
          </w:p>
        </w:tc>
        <w:tc>
          <w:tcPr>
            <w:tcW w:type="dxa" w:w="4873"/>
            <w:shd w:val="clear" w:color="auto" w:fill="EEF4FA"/>
          </w:tcPr>
          <w:p>
            <w:r>
              <w:rPr>
                <w:rFonts w:ascii="Arial" w:hAnsi="Arial"/>
                <w:sz w:val="20"/>
              </w:rPr>
              <w:t>Something is broken or not working (e.g., "My laptop won't connect to Wi-Fi").</w:t>
            </w:r>
          </w:p>
        </w:tc>
      </w:tr>
      <w:tr>
        <w:tc>
          <w:tcPr>
            <w:tcW w:type="dxa" w:w="4873"/>
            <w:shd w:val="clear" w:color="auto" w:fill="FFFFFF"/>
          </w:tcPr>
          <w:p>
            <w:r>
              <w:rPr>
                <w:rFonts w:ascii="Arial" w:hAnsi="Arial"/>
                <w:sz w:val="20"/>
              </w:rPr>
              <w:t>Service Request</w:t>
            </w:r>
          </w:p>
        </w:tc>
        <w:tc>
          <w:tcPr>
            <w:tcW w:type="dxa" w:w="4873"/>
            <w:shd w:val="clear" w:color="auto" w:fill="FFFFFF"/>
          </w:tcPr>
          <w:p>
            <w:r>
              <w:rPr>
                <w:rFonts w:ascii="Arial" w:hAnsi="Arial"/>
                <w:sz w:val="20"/>
              </w:rPr>
              <w:t>You need something new or a change (e.g., "I need access to the HR system").</w:t>
            </w:r>
          </w:p>
        </w:tc>
      </w:tr>
      <w:tr>
        <w:tc>
          <w:tcPr>
            <w:tcW w:type="dxa" w:w="4873"/>
            <w:shd w:val="clear" w:color="auto" w:fill="EEF4FA"/>
          </w:tcPr>
          <w:p>
            <w:r>
              <w:rPr>
                <w:rFonts w:ascii="Arial" w:hAnsi="Arial"/>
                <w:sz w:val="20"/>
              </w:rPr>
              <w:t>Question / How-To</w:t>
            </w:r>
          </w:p>
        </w:tc>
        <w:tc>
          <w:tcPr>
            <w:tcW w:type="dxa" w:w="4873"/>
            <w:shd w:val="clear" w:color="auto" w:fill="EEF4FA"/>
          </w:tcPr>
          <w:p>
            <w:r>
              <w:rPr>
                <w:rFonts w:ascii="Arial" w:hAnsi="Arial"/>
                <w:sz w:val="20"/>
              </w:rPr>
              <w:t>General IT questions (e.g., "How do I reset my password?").</w:t>
            </w:r>
          </w:p>
        </w:tc>
      </w:tr>
      <w:tr>
        <w:tc>
          <w:tcPr>
            <w:tcW w:type="dxa" w:w="4873"/>
            <w:shd w:val="clear" w:color="auto" w:fill="FFFFFF"/>
          </w:tcPr>
          <w:p>
            <w:r>
              <w:rPr>
                <w:rFonts w:ascii="Arial" w:hAnsi="Arial"/>
                <w:sz w:val="20"/>
              </w:rPr>
              <w:t>Change Request</w:t>
            </w:r>
          </w:p>
        </w:tc>
        <w:tc>
          <w:tcPr>
            <w:tcW w:type="dxa" w:w="4873"/>
            <w:shd w:val="clear" w:color="auto" w:fill="FFFFFF"/>
          </w:tcPr>
          <w:p>
            <w:r>
              <w:rPr>
                <w:rFonts w:ascii="Arial" w:hAnsi="Arial"/>
                <w:sz w:val="20"/>
              </w:rPr>
              <w:t>Planned changes to IT systems — typically submitted by IT staff only.</w:t>
            </w:r>
          </w:p>
        </w:tc>
      </w:tr>
    </w:tbl>
    <w:p/>
    <w:p>
      <w:pPr>
        <w:spacing w:before="80" w:after="40"/>
      </w:pPr>
      <w:r>
        <w:rPr>
          <w:rFonts w:ascii="Arial" w:hAnsi="Arial"/>
          <w:b/>
          <w:i w:val="0"/>
          <w:color w:val="1F4D78"/>
          <w:sz w:val="22"/>
        </w:rPr>
        <w:t>Step 2 – Fill In the Details</w:t>
      </w:r>
    </w:p>
    <w:p>
      <w:pPr>
        <w:numPr>
          <w:ilvl w:val="0"/>
          <w:numId w:val="1"/>
        </w:numPr>
        <w:pStyle w:val="ListParagraph"/>
        <w:ind w:left="360"/>
      </w:pPr>
      <w:r>
        <w:rPr>
          <w:rFonts w:ascii="Arial" w:hAnsi="Arial"/>
          <w:sz w:val="22"/>
        </w:rPr>
        <w:t>Short Description: summarize the issue in one sentence (e.g., "Outlook crashes when opening attachments").</w:t>
      </w:r>
    </w:p>
    <w:p>
      <w:pPr>
        <w:numPr>
          <w:ilvl w:val="0"/>
          <w:numId w:val="1"/>
        </w:numPr>
        <w:pStyle w:val="ListParagraph"/>
        <w:ind w:left="360"/>
      </w:pPr>
      <w:r>
        <w:rPr>
          <w:rFonts w:ascii="Arial" w:hAnsi="Arial"/>
          <w:sz w:val="22"/>
        </w:rPr>
        <w:t>Category: select the affected system from the dropdown (e.g., Email, Network, Hardware, Application).</w:t>
      </w:r>
    </w:p>
    <w:p>
      <w:pPr>
        <w:numPr>
          <w:ilvl w:val="0"/>
          <w:numId w:val="1"/>
        </w:numPr>
        <w:pStyle w:val="ListParagraph"/>
        <w:ind w:left="360"/>
      </w:pPr>
      <w:r>
        <w:rPr>
          <w:rFonts w:ascii="Arial" w:hAnsi="Arial"/>
          <w:sz w:val="22"/>
        </w:rPr>
        <w:t>Priority: select based on business impact — see the priority guide below.</w:t>
      </w:r>
    </w:p>
    <w:p>
      <w:pPr>
        <w:numPr>
          <w:ilvl w:val="0"/>
          <w:numId w:val="1"/>
        </w:numPr>
        <w:pStyle w:val="ListParagraph"/>
        <w:ind w:left="360"/>
      </w:pPr>
      <w:r>
        <w:rPr>
          <w:rFonts w:ascii="Arial" w:hAnsi="Arial"/>
          <w:sz w:val="22"/>
        </w:rPr>
        <w:t>Description: provide full context — what you were doing, what error appeared, steps already tried, and when it started.</w:t>
      </w:r>
    </w:p>
    <w:p>
      <w:pPr>
        <w:numPr>
          <w:ilvl w:val="0"/>
          <w:numId w:val="1"/>
        </w:numPr>
        <w:pStyle w:val="ListParagraph"/>
        <w:ind w:left="360"/>
      </w:pPr>
      <w:r>
        <w:rPr>
          <w:rFonts w:ascii="Arial" w:hAnsi="Arial"/>
          <w:sz w:val="22"/>
        </w:rPr>
        <w:t>Attachment: attach screenshots, error messages, or log files if available.</w:t>
      </w:r>
    </w:p>
    <w:p>
      <w:pPr>
        <w:spacing w:before="80" w:after="40"/>
      </w:pPr>
      <w:r>
        <w:rPr>
          <w:rFonts w:ascii="Arial" w:hAnsi="Arial"/>
          <w:b/>
          <w:i w:val="0"/>
          <w:color w:val="1F4D78"/>
          <w:sz w:val="22"/>
        </w:rPr>
        <w:t>Step 3 – Priority Guide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Priority</w:t>
            </w:r>
          </w:p>
        </w:tc>
        <w:tc>
          <w:tcPr>
            <w:tcW w:type="dxa" w:w="3249"/>
            <w:shd w:val="clear" w:color="auto" w:fill="2E74B5"/>
          </w:tcPr>
          <w:p>
            <w:r>
              <w:rPr>
                <w:rFonts w:ascii="Arial" w:hAnsi="Arial"/>
                <w:b/>
                <w:color w:val="FFFFFF"/>
                <w:sz w:val="20"/>
              </w:rPr>
              <w:t>Definition</w:t>
            </w:r>
          </w:p>
        </w:tc>
        <w:tc>
          <w:tcPr>
            <w:tcW w:type="dxa" w:w="3249"/>
            <w:shd w:val="clear" w:color="auto" w:fill="2E74B5"/>
          </w:tcPr>
          <w:p>
            <w:r>
              <w:rPr>
                <w:rFonts w:ascii="Arial" w:hAnsi="Arial"/>
                <w:b/>
                <w:color w:val="FFFFFF"/>
                <w:sz w:val="20"/>
              </w:rPr>
              <w:t>Response Target</w:t>
            </w:r>
          </w:p>
        </w:tc>
      </w:tr>
      <w:tr>
        <w:tc>
          <w:tcPr>
            <w:tcW w:type="dxa" w:w="3249"/>
            <w:shd w:val="clear" w:color="auto" w:fill="EEF4FA"/>
          </w:tcPr>
          <w:p>
            <w:r>
              <w:rPr>
                <w:rFonts w:ascii="Arial" w:hAnsi="Arial"/>
                <w:sz w:val="20"/>
              </w:rPr>
              <w:t>P1 – Critical</w:t>
            </w:r>
          </w:p>
        </w:tc>
        <w:tc>
          <w:tcPr>
            <w:tcW w:type="dxa" w:w="3249"/>
            <w:shd w:val="clear" w:color="auto" w:fill="EEF4FA"/>
          </w:tcPr>
          <w:p>
            <w:r>
              <w:rPr>
                <w:rFonts w:ascii="Arial" w:hAnsi="Arial"/>
                <w:sz w:val="20"/>
              </w:rPr>
              <w:t>Complete work stoppage for a department, station, or flight operation.</w:t>
            </w:r>
          </w:p>
        </w:tc>
        <w:tc>
          <w:tcPr>
            <w:tcW w:type="dxa" w:w="3249"/>
            <w:shd w:val="clear" w:color="auto" w:fill="EEF4FA"/>
          </w:tcPr>
          <w:p>
            <w:r>
              <w:rPr>
                <w:rFonts w:ascii="Arial" w:hAnsi="Arial"/>
                <w:sz w:val="20"/>
              </w:rPr>
              <w:t>15 minutes</w:t>
            </w:r>
          </w:p>
        </w:tc>
      </w:tr>
      <w:tr>
        <w:tc>
          <w:tcPr>
            <w:tcW w:type="dxa" w:w="3249"/>
            <w:shd w:val="clear" w:color="auto" w:fill="FFFFFF"/>
          </w:tcPr>
          <w:p>
            <w:r>
              <w:rPr>
                <w:rFonts w:ascii="Arial" w:hAnsi="Arial"/>
                <w:sz w:val="20"/>
              </w:rPr>
              <w:t>P2 – High</w:t>
            </w:r>
          </w:p>
        </w:tc>
        <w:tc>
          <w:tcPr>
            <w:tcW w:type="dxa" w:w="3249"/>
            <w:shd w:val="clear" w:color="auto" w:fill="FFFFFF"/>
          </w:tcPr>
          <w:p>
            <w:r>
              <w:rPr>
                <w:rFonts w:ascii="Arial" w:hAnsi="Arial"/>
                <w:sz w:val="20"/>
              </w:rPr>
              <w:t>Significant impact on one or more users; workaround is not available.</w:t>
            </w:r>
          </w:p>
        </w:tc>
        <w:tc>
          <w:tcPr>
            <w:tcW w:type="dxa" w:w="3249"/>
            <w:shd w:val="clear" w:color="auto" w:fill="FFFFFF"/>
          </w:tcPr>
          <w:p>
            <w:r>
              <w:rPr>
                <w:rFonts w:ascii="Arial" w:hAnsi="Arial"/>
                <w:sz w:val="20"/>
              </w:rPr>
              <w:t>2 hours</w:t>
            </w:r>
          </w:p>
        </w:tc>
      </w:tr>
      <w:tr>
        <w:tc>
          <w:tcPr>
            <w:tcW w:type="dxa" w:w="3249"/>
            <w:shd w:val="clear" w:color="auto" w:fill="EEF4FA"/>
          </w:tcPr>
          <w:p>
            <w:r>
              <w:rPr>
                <w:rFonts w:ascii="Arial" w:hAnsi="Arial"/>
                <w:sz w:val="20"/>
              </w:rPr>
              <w:t>P3 – Medium</w:t>
            </w:r>
          </w:p>
        </w:tc>
        <w:tc>
          <w:tcPr>
            <w:tcW w:type="dxa" w:w="3249"/>
            <w:shd w:val="clear" w:color="auto" w:fill="EEF4FA"/>
          </w:tcPr>
          <w:p>
            <w:r>
              <w:rPr>
                <w:rFonts w:ascii="Arial" w:hAnsi="Arial"/>
                <w:sz w:val="20"/>
              </w:rPr>
              <w:t>Moderate impact; a workaround exists but is inconvenient.</w:t>
            </w:r>
          </w:p>
        </w:tc>
        <w:tc>
          <w:tcPr>
            <w:tcW w:type="dxa" w:w="3249"/>
            <w:shd w:val="clear" w:color="auto" w:fill="EEF4FA"/>
          </w:tcPr>
          <w:p>
            <w:r>
              <w:rPr>
                <w:rFonts w:ascii="Arial" w:hAnsi="Arial"/>
                <w:sz w:val="20"/>
              </w:rPr>
              <w:t>8 business hours</w:t>
            </w:r>
          </w:p>
        </w:tc>
      </w:tr>
      <w:tr>
        <w:tc>
          <w:tcPr>
            <w:tcW w:type="dxa" w:w="3249"/>
            <w:shd w:val="clear" w:color="auto" w:fill="FFFFFF"/>
          </w:tcPr>
          <w:p>
            <w:r>
              <w:rPr>
                <w:rFonts w:ascii="Arial" w:hAnsi="Arial"/>
                <w:sz w:val="20"/>
              </w:rPr>
              <w:t>P4 – Low</w:t>
            </w:r>
          </w:p>
        </w:tc>
        <w:tc>
          <w:tcPr>
            <w:tcW w:type="dxa" w:w="3249"/>
            <w:shd w:val="clear" w:color="auto" w:fill="FFFFFF"/>
          </w:tcPr>
          <w:p>
            <w:r>
              <w:rPr>
                <w:rFonts w:ascii="Arial" w:hAnsi="Arial"/>
                <w:sz w:val="20"/>
              </w:rPr>
              <w:t>Minor issue or cosmetic problem; no urgency.</w:t>
            </w:r>
          </w:p>
        </w:tc>
        <w:tc>
          <w:tcPr>
            <w:tcW w:type="dxa" w:w="3249"/>
            <w:shd w:val="clear" w:color="auto" w:fill="FFFFFF"/>
          </w:tcPr>
          <w:p>
            <w:r>
              <w:rPr>
                <w:rFonts w:ascii="Arial" w:hAnsi="Arial"/>
                <w:sz w:val="20"/>
              </w:rPr>
              <w:t>2 business days</w:t>
            </w:r>
          </w:p>
        </w:tc>
      </w:tr>
    </w:tbl>
    <w:p/>
    <w:p>
      <w:pPr>
        <w:spacing w:before="160" w:after="40"/>
      </w:pPr>
      <w:r>
        <w:rPr>
          <w:rFonts w:ascii="Arial" w:hAnsi="Arial"/>
          <w:b/>
          <w:i w:val="0"/>
          <w:color w:val="2E74B5"/>
          <w:sz w:val="26"/>
        </w:rPr>
        <w:t>Tracking Your Ticket</w:t>
      </w:r>
    </w:p>
    <w:p>
      <w:pPr>
        <w:numPr>
          <w:ilvl w:val="0"/>
          <w:numId w:val="1"/>
        </w:numPr>
        <w:pStyle w:val="ListParagraph"/>
        <w:ind w:left="360"/>
      </w:pPr>
      <w:r>
        <w:rPr>
          <w:rFonts w:ascii="Arial" w:hAnsi="Arial"/>
          <w:sz w:val="22"/>
        </w:rPr>
        <w:t>After submission you will receive a confirmation email with your ticket number (e.g., INC0012345).</w:t>
      </w:r>
    </w:p>
    <w:p>
      <w:pPr>
        <w:numPr>
          <w:ilvl w:val="0"/>
          <w:numId w:val="1"/>
        </w:numPr>
        <w:pStyle w:val="ListParagraph"/>
        <w:ind w:left="360"/>
      </w:pPr>
      <w:r>
        <w:rPr>
          <w:rFonts w:ascii="Arial" w:hAnsi="Arial"/>
          <w:sz w:val="22"/>
        </w:rPr>
        <w:t>Log in to https://it.bluestar.com → My Requests to view status, add comments, or upload additional files.</w:t>
      </w:r>
    </w:p>
    <w:p>
      <w:pPr>
        <w:numPr>
          <w:ilvl w:val="0"/>
          <w:numId w:val="1"/>
        </w:numPr>
        <w:pStyle w:val="ListParagraph"/>
        <w:ind w:left="360"/>
      </w:pPr>
      <w:r>
        <w:rPr>
          <w:rFonts w:ascii="Arial" w:hAnsi="Arial"/>
          <w:sz w:val="22"/>
        </w:rPr>
        <w:t>The assigned technician will update the ticket with progress notes — you will receive email notifications.</w:t>
      </w:r>
    </w:p>
    <w:p>
      <w:pPr>
        <w:numPr>
          <w:ilvl w:val="0"/>
          <w:numId w:val="1"/>
        </w:numPr>
        <w:pStyle w:val="ListParagraph"/>
        <w:ind w:left="360"/>
      </w:pPr>
      <w:r>
        <w:rPr>
          <w:rFonts w:ascii="Arial" w:hAnsi="Arial"/>
          <w:sz w:val="22"/>
        </w:rPr>
        <w:t>Do not open a duplicate ticket for the same issue — add a comment to the existing ticket instead.</w:t>
      </w:r>
    </w:p>
    <w:p>
      <w:pPr>
        <w:spacing w:before="160" w:after="40"/>
      </w:pPr>
      <w:r>
        <w:rPr>
          <w:rFonts w:ascii="Arial" w:hAnsi="Arial"/>
          <w:b/>
          <w:i w:val="0"/>
          <w:color w:val="2E74B5"/>
          <w:sz w:val="26"/>
        </w:rPr>
        <w:t>Escalating an Overdue Ticket</w:t>
      </w:r>
    </w:p>
    <w:p>
      <w:pPr>
        <w:spacing w:before="20" w:after="80"/>
      </w:pPr>
      <w:r>
        <w:rPr>
          <w:rFonts w:ascii="Arial" w:hAnsi="Arial"/>
          <w:b w:val="0"/>
          <w:i w:val="0"/>
          <w:sz w:val="22"/>
        </w:rPr>
        <w:t>If a ticket has not been updated within the response target for its priority, you may escalate by adding a comment marked "Escalation Request" in the ticket, or by calling the Helpdesk and providing your ticket number. P1 and P2 tickets that breach SLA are automatically escalated to the Helpdesk Manager. Escalation through a manager is appropriate only for P1 situations affecting flight or safety operations.</w:t>
      </w:r>
    </w:p>
    <w:p/>
    <w:p>
      <w:pPr>
        <w:spacing w:before="160" w:after="80"/>
      </w:pPr>
      <w:r>
        <w:rPr>
          <w:rFonts w:ascii="Arial" w:hAnsi="Arial"/>
          <w:b/>
          <w:i w:val="0"/>
          <w:color w:val="2E74B5"/>
          <w:sz w:val="32"/>
        </w:rPr>
        <w:t>Support Information</w:t>
      </w:r>
    </w:p>
    <w:tbl>
      <w:tblPr>
        <w:tblStyle w:val="TableGrid"/>
        <w:tblW w:type="auto" w:w="0"/>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436"/>
        <w:gridCol w:w="2436"/>
        <w:gridCol w:w="2436"/>
        <w:gridCol w:w="2436"/>
      </w:tblGrid>
      <w:tr>
        <w:tc>
          <w:tcPr>
            <w:tcW w:type="dxa" w:w="2436"/>
            <w:shd w:val="clear" w:color="auto" w:fill="2E74B5"/>
          </w:tcPr>
          <w:p>
            <w:r>
              <w:rPr>
                <w:rFonts w:ascii="Arial" w:hAnsi="Arial"/>
                <w:b/>
                <w:color w:val="FFFFFF"/>
                <w:sz w:val="20"/>
              </w:rPr>
              <w:t>Name</w:t>
            </w:r>
          </w:p>
        </w:tc>
        <w:tc>
          <w:tcPr>
            <w:tcW w:type="dxa" w:w="2436"/>
            <w:shd w:val="clear" w:color="auto" w:fill="2E74B5"/>
          </w:tcPr>
          <w:p>
            <w:r>
              <w:rPr>
                <w:rFonts w:ascii="Arial" w:hAnsi="Arial"/>
                <w:b/>
                <w:color w:val="FFFFFF"/>
                <w:sz w:val="20"/>
              </w:rPr>
              <w:t>Role</w:t>
            </w:r>
          </w:p>
        </w:tc>
        <w:tc>
          <w:tcPr>
            <w:tcW w:type="dxa" w:w="2436"/>
            <w:shd w:val="clear" w:color="auto" w:fill="2E74B5"/>
          </w:tcPr>
          <w:p>
            <w:r>
              <w:rPr>
                <w:rFonts w:ascii="Arial" w:hAnsi="Arial"/>
                <w:b/>
                <w:color w:val="FFFFFF"/>
                <w:sz w:val="20"/>
              </w:rPr>
              <w:t>Email</w:t>
            </w:r>
          </w:p>
        </w:tc>
        <w:tc>
          <w:tcPr>
            <w:tcW w:type="dxa" w:w="2436"/>
            <w:shd w:val="clear" w:color="auto" w:fill="2E74B5"/>
          </w:tcPr>
          <w:p>
            <w:r>
              <w:rPr>
                <w:rFonts w:ascii="Arial" w:hAnsi="Arial"/>
                <w:b/>
                <w:color w:val="FFFFFF"/>
                <w:sz w:val="20"/>
              </w:rPr>
              <w:t>Phone</w:t>
            </w:r>
          </w:p>
        </w:tc>
      </w:tr>
      <w:tr>
        <w:tc>
          <w:tcPr>
            <w:tcW w:type="dxa" w:w="2436"/>
            <w:shd w:val="clear" w:color="auto" w:fill="EEF4FA"/>
          </w:tcPr>
          <w:p>
            <w:r>
              <w:rPr>
                <w:rFonts w:ascii="Arial" w:hAnsi="Arial"/>
                <w:sz w:val="20"/>
              </w:rPr>
              <w:t>IT Helpdesk (24/7)</w:t>
            </w:r>
          </w:p>
        </w:tc>
        <w:tc>
          <w:tcPr>
            <w:tcW w:type="dxa" w:w="2436"/>
            <w:shd w:val="clear" w:color="auto" w:fill="EEF4FA"/>
          </w:tcPr>
          <w:p>
            <w:r>
              <w:rPr>
                <w:rFonts w:ascii="Arial" w:hAnsi="Arial"/>
                <w:sz w:val="20"/>
              </w:rPr>
              <w:t>All IT Issues</w:t>
            </w:r>
          </w:p>
        </w:tc>
        <w:tc>
          <w:tcPr>
            <w:tcW w:type="dxa" w:w="2436"/>
            <w:shd w:val="clear" w:color="auto" w:fill="EEF4FA"/>
          </w:tcPr>
          <w:p>
            <w:r>
              <w:rPr>
                <w:rFonts w:ascii="Arial" w:hAnsi="Arial"/>
                <w:sz w:val="20"/>
              </w:rPr>
              <w:t>helpdesk@bluestar.com</w:t>
            </w:r>
          </w:p>
        </w:tc>
        <w:tc>
          <w:tcPr>
            <w:tcW w:type="dxa" w:w="2436"/>
            <w:shd w:val="clear" w:color="auto" w:fill="EEF4FA"/>
          </w:tcPr>
          <w:p>
            <w:r>
              <w:rPr>
                <w:rFonts w:ascii="Arial" w:hAnsi="Arial"/>
                <w:sz w:val="20"/>
              </w:rPr>
              <w:t>1-800-742-9300</w:t>
            </w:r>
          </w:p>
        </w:tc>
      </w:tr>
      <w:tr>
        <w:tc>
          <w:tcPr>
            <w:tcW w:type="dxa" w:w="2436"/>
            <w:shd w:val="clear" w:color="auto" w:fill="FFFFFF"/>
          </w:tcPr>
          <w:p>
            <w:r>
              <w:rPr>
                <w:rFonts w:ascii="Arial" w:hAnsi="Arial"/>
                <w:sz w:val="20"/>
              </w:rPr>
              <w:t>Walker, James</w:t>
            </w:r>
          </w:p>
        </w:tc>
        <w:tc>
          <w:tcPr>
            <w:tcW w:type="dxa" w:w="2436"/>
            <w:shd w:val="clear" w:color="auto" w:fill="FFFFFF"/>
          </w:tcPr>
          <w:p>
            <w:r>
              <w:rPr>
                <w:rFonts w:ascii="Arial" w:hAnsi="Arial"/>
                <w:sz w:val="20"/>
              </w:rPr>
              <w:t>Helpdesk Manager</w:t>
            </w:r>
          </w:p>
        </w:tc>
        <w:tc>
          <w:tcPr>
            <w:tcW w:type="dxa" w:w="2436"/>
            <w:shd w:val="clear" w:color="auto" w:fill="FFFFFF"/>
          </w:tcPr>
          <w:p>
            <w:r>
              <w:rPr>
                <w:rFonts w:ascii="Arial" w:hAnsi="Arial"/>
                <w:sz w:val="20"/>
              </w:rPr>
              <w:t>jwalker@bluestar.com</w:t>
            </w:r>
          </w:p>
        </w:tc>
        <w:tc>
          <w:tcPr>
            <w:tcW w:type="dxa" w:w="2436"/>
            <w:shd w:val="clear" w:color="auto" w:fill="FFFFFF"/>
          </w:tcPr>
          <w:p>
            <w:r>
              <w:rPr>
                <w:rFonts w:ascii="Arial" w:hAnsi="Arial"/>
                <w:sz w:val="20"/>
              </w:rPr>
              <w:t>x9305</w:t>
            </w:r>
          </w:p>
        </w:tc>
      </w:tr>
      <w:tr>
        <w:tc>
          <w:tcPr>
            <w:tcW w:type="dxa" w:w="2436"/>
            <w:shd w:val="clear" w:color="auto" w:fill="EEF4FA"/>
          </w:tcPr>
          <w:p>
            <w:r>
              <w:rPr>
                <w:rFonts w:ascii="Arial" w:hAnsi="Arial"/>
                <w:sz w:val="20"/>
              </w:rPr>
              <w:t>Self-Service Portal</w:t>
            </w:r>
          </w:p>
        </w:tc>
        <w:tc>
          <w:tcPr>
            <w:tcW w:type="dxa" w:w="2436"/>
            <w:shd w:val="clear" w:color="auto" w:fill="EEF4FA"/>
          </w:tcPr>
          <w:p>
            <w:r>
              <w:rPr>
                <w:rFonts w:ascii="Arial" w:hAnsi="Arial"/>
                <w:sz w:val="20"/>
              </w:rPr>
              <w:t>Ticket Submission &amp; Tracking</w:t>
            </w:r>
          </w:p>
        </w:tc>
        <w:tc>
          <w:tcPr>
            <w:tcW w:type="dxa" w:w="2436"/>
            <w:shd w:val="clear" w:color="auto" w:fill="EEF4FA"/>
          </w:tcPr>
          <w:p>
            <w:r>
              <w:rPr>
                <w:rFonts w:ascii="Arial" w:hAnsi="Arial"/>
                <w:sz w:val="20"/>
              </w:rPr>
              <w:t>https://it.bluestar.com</w:t>
            </w:r>
          </w:p>
        </w:tc>
        <w:tc>
          <w:tcPr>
            <w:tcW w:type="dxa" w:w="2436"/>
            <w:shd w:val="clear" w:color="auto" w:fill="EEF4FA"/>
          </w:tcPr>
          <w:p>
            <w:r>
              <w:rPr>
                <w:rFonts w:ascii="Arial" w:hAnsi="Arial"/>
                <w:sz w:val="20"/>
              </w:rPr>
              <w:t>N/A</w:t>
            </w:r>
          </w:p>
        </w:tc>
      </w:tr>
    </w:tbl>
    <w:p/>
    <w:p>
      <w:pPr>
        <w:spacing w:before="160" w:after="80"/>
      </w:pPr>
      <w:r>
        <w:rPr>
          <w:rFonts w:ascii="Arial" w:hAnsi="Arial"/>
          <w:b/>
          <w:i w:val="0"/>
          <w:color w:val="2E74B5"/>
          <w:sz w:val="32"/>
        </w:rPr>
        <w:t>Related Articles</w:t>
      </w:r>
    </w:p>
    <w:p>
      <w:pPr>
        <w:spacing w:before="20" w:after="40"/>
      </w:pPr>
      <w:r>
        <w:rPr>
          <w:rFonts w:ascii="Arial" w:hAnsi="Arial"/>
          <w:b w:val="0"/>
          <w:i w:val="0"/>
          <w:color w:val="0563C1"/>
          <w:sz w:val="22"/>
        </w:rPr>
        <w:t>• KB001 – Reporting a Phishing or Suspicious Email</w:t>
      </w:r>
    </w:p>
    <w:p>
      <w:pPr>
        <w:spacing w:before="20" w:after="40"/>
      </w:pPr>
      <w:r>
        <w:rPr>
          <w:rFonts w:ascii="Arial" w:hAnsi="Arial"/>
          <w:b w:val="0"/>
          <w:i w:val="0"/>
          <w:color w:val="0563C1"/>
          <w:sz w:val="22"/>
        </w:rPr>
        <w:t>• KB002 – Multi-Factor Authentication (MFA) Setup and Troubleshooting</w:t>
      </w:r>
    </w:p>
    <w:p>
      <w:pPr>
        <w:spacing w:before="20" w:after="40"/>
      </w:pPr>
      <w:r>
        <w:rPr>
          <w:rFonts w:ascii="Arial" w:hAnsi="Arial"/>
          <w:b w:val="0"/>
          <w:i w:val="0"/>
          <w:color w:val="0563C1"/>
          <w:sz w:val="22"/>
        </w:rPr>
        <w:t>• KB005 – Sabre CrewTrac Login Failures and Session Errors</w:t>
      </w:r>
    </w:p>
    <w:p>
      <w:pPr>
        <w:spacing w:before="20" w:after="40"/>
      </w:pPr>
      <w:r>
        <w:rPr>
          <w:rFonts w:ascii="Arial" w:hAnsi="Arial"/>
          <w:b w:val="0"/>
          <w:i w:val="0"/>
          <w:color w:val="0563C1"/>
          <w:sz w:val="22"/>
        </w:rPr>
        <w:t>• KB007 – IT Equipment Request Process for New Hires and Transfers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3f34e6-98e4-41bc-8c28-d5c039906545_Enabled">
    <vt:lpwstr>true</vt:lpwstr>
  </property>
  <property fmtid="{D5CDD505-2E9C-101B-9397-08002B2CF9AE}" pid="3" name="MSIP_Label_1f3f34e6-98e4-41bc-8c28-d5c039906545_SetDate">
    <vt:lpwstr>2026-06-16T18:05:28Z</vt:lpwstr>
  </property>
  <property fmtid="{D5CDD505-2E9C-101B-9397-08002B2CF9AE}" pid="4" name="MSIP_Label_1f3f34e6-98e4-41bc-8c28-d5c039906545_Method">
    <vt:lpwstr>Standard</vt:lpwstr>
  </property>
  <property fmtid="{D5CDD505-2E9C-101B-9397-08002B2CF9AE}" pid="5" name="MSIP_Label_1f3f34e6-98e4-41bc-8c28-d5c039906545_Name">
    <vt:lpwstr>Internal</vt:lpwstr>
  </property>
  <property fmtid="{D5CDD505-2E9C-101B-9397-08002B2CF9AE}" pid="6" name="MSIP_Label_1f3f34e6-98e4-41bc-8c28-d5c039906545_SiteId">
    <vt:lpwstr>82a76afe-3939-4043-8f87-4a6fb9e9e477</vt:lpwstr>
  </property>
  <property fmtid="{D5CDD505-2E9C-101B-9397-08002B2CF9AE}" pid="7" name="MSIP_Label_1f3f34e6-98e4-41bc-8c28-d5c039906545_ActionId">
    <vt:lpwstr>43568b87-3a8f-4a81-8f52-3715110c4d30</vt:lpwstr>
  </property>
  <property fmtid="{D5CDD505-2E9C-101B-9397-08002B2CF9AE}" pid="8" name="MSIP_Label_1f3f34e6-98e4-41bc-8c28-d5c039906545_ContentBits">
    <vt:lpwstr>0</vt:lpwstr>
  </property>
</Properties>
</file>