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D78"/>
          <w:sz w:val="40"/>
        </w:rPr>
        <w:t>IT Equipment Request Process for New Hires and Internal Transfers</w:t>
      </w:r>
    </w:p>
    <w:p>
      <w:pPr>
        <w:spacing w:before="0" w:after="80"/>
      </w:pPr>
      <w:r>
        <w:rPr>
          <w:rFonts w:ascii="Arial" w:hAnsi="Arial"/>
          <w:b/>
          <w:i w:val="0"/>
          <w:color w:val="2E74B5"/>
          <w:sz w:val="22"/>
        </w:rPr>
        <w:t xml:space="preserve">KB007    </w:t>
      </w:r>
      <w:r>
        <w:rPr>
          <w:rFonts w:ascii="Arial" w:hAnsi="Arial"/>
          <w:b w:val="0"/>
          <w:i w:val="0"/>
          <w:color w:val="555555"/>
          <w:sz w:val="20"/>
        </w:rPr>
        <w:t xml:space="preserve">Category: Other    </w:t>
      </w:r>
      <w:r>
        <w:rPr>
          <w:rFonts w:ascii="Arial" w:hAnsi="Arial"/>
          <w:b w:val="0"/>
          <w:i w:val="0"/>
          <w:color w:val="555555"/>
          <w:sz w:val="20"/>
        </w:rPr>
        <w:t>45 views</w:t>
      </w:r>
    </w:p>
    <w:p>
      <w:pPr>
        <w:spacing w:before="0" w:after="0"/>
        <w:pBdr>
          <w:bottom w:val="single" w:sz="6" w:space="1" w:color="2E74B5"/>
        </w:pBdr>
      </w:pPr>
    </w:p>
    <w:p>
      <w:pPr>
        <w:spacing w:before="120" w:after="160"/>
      </w:pPr>
      <w:r>
        <w:rPr>
          <w:rFonts w:ascii="Arial" w:hAnsi="Arial"/>
          <w:b w:val="0"/>
          <w:i/>
          <w:color w:val="444444"/>
          <w:sz w:val="20"/>
        </w:rPr>
        <w:t>[Applies to: BlueStar Airlines, Inc. — People Managers and HR Business Partners]</w:t>
      </w:r>
    </w:p>
    <w:p>
      <w:pPr>
        <w:spacing w:before="40" w:after="0"/>
        <w:shd w:val="clear" w:color="auto" w:fill="D6E4F0"/>
      </w:pPr>
      <w:r>
        <w:rPr>
          <w:rFonts w:ascii="Arial" w:hAnsi="Arial"/>
          <w:b/>
          <w:i w:val="0"/>
          <w:color w:val="1F4D78"/>
          <w:sz w:val="26"/>
        </w:rPr>
        <w:t>Summary</w:t>
      </w:r>
    </w:p>
    <w:p>
      <w:pPr>
        <w:spacing w:before="0" w:after="200"/>
        <w:shd w:val="clear" w:color="auto" w:fill="EEF4FA"/>
      </w:pPr>
      <w:r>
        <w:rPr>
          <w:rFonts w:ascii="Arial" w:hAnsi="Arial"/>
          <w:b w:val="0"/>
          <w:i w:val="0"/>
          <w:sz w:val="22"/>
        </w:rPr>
        <w:t>This article explains how BlueStar Airlines managers request laptops, peripherals, and access provisioning for new employees and internal transfers. It covers approved equipment standards, required lead times, the request workflow, and what to do when equipment does not arrive before the employee's start or transfer date.</w:t>
      </w:r>
    </w:p>
    <w:p>
      <w:pPr>
        <w:spacing w:before="120" w:after="80"/>
      </w:pPr>
      <w:r>
        <w:rPr>
          <w:rFonts w:ascii="Arial" w:hAnsi="Arial"/>
          <w:b/>
          <w:i w:val="0"/>
          <w:color w:val="2E74B5"/>
          <w:sz w:val="32"/>
        </w:rPr>
        <w:t>Details</w:t>
      </w:r>
    </w:p>
    <w:p>
      <w:pPr>
        <w:spacing w:before="160" w:after="40"/>
      </w:pPr>
      <w:r>
        <w:rPr>
          <w:rFonts w:ascii="Arial" w:hAnsi="Arial"/>
          <w:b/>
          <w:i w:val="0"/>
          <w:color w:val="2E74B5"/>
          <w:sz w:val="26"/>
        </w:rPr>
        <w:t>Overview</w:t>
      </w:r>
    </w:p>
    <w:p>
      <w:pPr>
        <w:spacing w:before="20" w:after="80"/>
      </w:pPr>
      <w:r>
        <w:rPr>
          <w:rFonts w:ascii="Arial" w:hAnsi="Arial"/>
          <w:b w:val="0"/>
          <w:i w:val="0"/>
          <w:sz w:val="22"/>
        </w:rPr>
        <w:t>IT equipment provisioning for new hires and transfers is managed through the BlueStar IT Self-Service Portal (ServiceNow) under the New Hire / Transfer Request form. Requests must be submitted by the hiring or receiving manager — HR Business Partners may submit on a manager's behalf. Standard lead time is 5 business days; international stations require 10 business days.</w:t>
      </w:r>
    </w:p>
    <w:p>
      <w:pPr>
        <w:spacing w:before="160" w:after="40"/>
      </w:pPr>
      <w:r>
        <w:rPr>
          <w:rFonts w:ascii="Arial" w:hAnsi="Arial"/>
          <w:b/>
          <w:i w:val="0"/>
          <w:color w:val="2E74B5"/>
          <w:sz w:val="26"/>
        </w:rPr>
        <w:t>Approved Equipment Standards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val="clear" w:color="auto" w:fill="2E74B5"/>
          </w:tcPr>
          <w:p>
            <w:r>
              <w:rPr>
                <w:rFonts w:ascii="Arial" w:hAnsi="Arial"/>
                <w:b/>
                <w:color w:val="FFFFFF"/>
                <w:sz w:val="20"/>
              </w:rPr>
              <w:t>Role Type</w:t>
            </w:r>
          </w:p>
        </w:tc>
        <w:tc>
          <w:tcPr>
            <w:tcW w:type="dxa" w:w="3249"/>
            <w:shd w:val="clear" w:color="auto" w:fill="2E74B5"/>
          </w:tcPr>
          <w:p>
            <w:r>
              <w:rPr>
                <w:rFonts w:ascii="Arial" w:hAnsi="Arial"/>
                <w:b/>
                <w:color w:val="FFFFFF"/>
                <w:sz w:val="20"/>
              </w:rPr>
              <w:t>Standard Laptop</w:t>
            </w:r>
          </w:p>
        </w:tc>
        <w:tc>
          <w:tcPr>
            <w:tcW w:type="dxa" w:w="3249"/>
            <w:shd w:val="clear" w:color="auto" w:fill="2E74B5"/>
          </w:tcPr>
          <w:p>
            <w:r>
              <w:rPr>
                <w:rFonts w:ascii="Arial" w:hAnsi="Arial"/>
                <w:b/>
                <w:color w:val="FFFFFF"/>
                <w:sz w:val="20"/>
              </w:rPr>
              <w:t>Peripherals Included</w:t>
            </w:r>
          </w:p>
        </w:tc>
      </w:tr>
      <w:tr>
        <w:tc>
          <w:tcPr>
            <w:tcW w:type="dxa" w:w="3249"/>
            <w:shd w:val="clear" w:color="auto" w:fill="EEF4FA"/>
          </w:tcPr>
          <w:p>
            <w:r>
              <w:rPr>
                <w:rFonts w:ascii="Arial" w:hAnsi="Arial"/>
                <w:sz w:val="20"/>
              </w:rPr>
              <w:t>Office / Corporate Staff</w:t>
            </w:r>
          </w:p>
        </w:tc>
        <w:tc>
          <w:tcPr>
            <w:tcW w:type="dxa" w:w="3249"/>
            <w:shd w:val="clear" w:color="auto" w:fill="EEF4FA"/>
          </w:tcPr>
          <w:p>
            <w:r>
              <w:rPr>
                <w:rFonts w:ascii="Arial" w:hAnsi="Arial"/>
                <w:sz w:val="20"/>
              </w:rPr>
              <w:t>Dell Latitude 5540 (14", Win 11)</w:t>
            </w:r>
          </w:p>
        </w:tc>
        <w:tc>
          <w:tcPr>
            <w:tcW w:type="dxa" w:w="3249"/>
            <w:shd w:val="clear" w:color="auto" w:fill="EEF4FA"/>
          </w:tcPr>
          <w:p>
            <w:r>
              <w:rPr>
                <w:rFonts w:ascii="Arial" w:hAnsi="Arial"/>
                <w:sz w:val="20"/>
              </w:rPr>
              <w:t>Docking station, keyboard, mouse, headset</w:t>
            </w:r>
          </w:p>
        </w:tc>
      </w:tr>
      <w:tr>
        <w:tc>
          <w:tcPr>
            <w:tcW w:type="dxa" w:w="3249"/>
            <w:shd w:val="clear" w:color="auto" w:fill="FFFFFF"/>
          </w:tcPr>
          <w:p>
            <w:r>
              <w:rPr>
                <w:rFonts w:ascii="Arial" w:hAnsi="Arial"/>
                <w:sz w:val="20"/>
              </w:rPr>
              <w:t>Field / Operations Staff</w:t>
            </w:r>
          </w:p>
        </w:tc>
        <w:tc>
          <w:tcPr>
            <w:tcW w:type="dxa" w:w="3249"/>
            <w:shd w:val="clear" w:color="auto" w:fill="FFFFFF"/>
          </w:tcPr>
          <w:p>
            <w:r>
              <w:rPr>
                <w:rFonts w:ascii="Arial" w:hAnsi="Arial"/>
                <w:sz w:val="20"/>
              </w:rPr>
              <w:t>Dell Latitude Rugged 5430 (14", Win 11)</w:t>
            </w:r>
          </w:p>
        </w:tc>
        <w:tc>
          <w:tcPr>
            <w:tcW w:type="dxa" w:w="3249"/>
            <w:shd w:val="clear" w:color="auto" w:fill="FFFFFF"/>
          </w:tcPr>
          <w:p>
            <w:r>
              <w:rPr>
                <w:rFonts w:ascii="Arial" w:hAnsi="Arial"/>
                <w:sz w:val="20"/>
              </w:rPr>
              <w:t>Carry sleeve; no docking station by default</w:t>
            </w:r>
          </w:p>
        </w:tc>
      </w:tr>
      <w:tr>
        <w:tc>
          <w:tcPr>
            <w:tcW w:type="dxa" w:w="3249"/>
            <w:shd w:val="clear" w:color="auto" w:fill="EEF4FA"/>
          </w:tcPr>
          <w:p>
            <w:r>
              <w:rPr>
                <w:rFonts w:ascii="Arial" w:hAnsi="Arial"/>
                <w:sz w:val="20"/>
              </w:rPr>
              <w:t>Flight Crew (EFB)</w:t>
            </w:r>
          </w:p>
        </w:tc>
        <w:tc>
          <w:tcPr>
            <w:tcW w:type="dxa" w:w="3249"/>
            <w:shd w:val="clear" w:color="auto" w:fill="EEF4FA"/>
          </w:tcPr>
          <w:p>
            <w:r>
              <w:rPr>
                <w:rFonts w:ascii="Arial" w:hAnsi="Arial"/>
                <w:sz w:val="20"/>
              </w:rPr>
              <w:t>Apple iPad 10th Gen + case + cellular</w:t>
            </w:r>
          </w:p>
        </w:tc>
        <w:tc>
          <w:tcPr>
            <w:tcW w:type="dxa" w:w="3249"/>
            <w:shd w:val="clear" w:color="auto" w:fill="EEF4FA"/>
          </w:tcPr>
          <w:p>
            <w:r>
              <w:rPr>
                <w:rFonts w:ascii="Arial" w:hAnsi="Arial"/>
                <w:sz w:val="20"/>
              </w:rPr>
              <w:t>Apple Pencil (2nd gen); Bluetooth keyboard optional</w:t>
            </w:r>
          </w:p>
        </w:tc>
      </w:tr>
      <w:tr>
        <w:tc>
          <w:tcPr>
            <w:tcW w:type="dxa" w:w="3249"/>
            <w:shd w:val="clear" w:color="auto" w:fill="FFFFFF"/>
          </w:tcPr>
          <w:p>
            <w:r>
              <w:rPr>
                <w:rFonts w:ascii="Arial" w:hAnsi="Arial"/>
                <w:sz w:val="20"/>
              </w:rPr>
              <w:t>Executive / Director+</w:t>
            </w:r>
          </w:p>
        </w:tc>
        <w:tc>
          <w:tcPr>
            <w:tcW w:type="dxa" w:w="3249"/>
            <w:shd w:val="clear" w:color="auto" w:fill="FFFFFF"/>
          </w:tcPr>
          <w:p>
            <w:r>
              <w:rPr>
                <w:rFonts w:ascii="Arial" w:hAnsi="Arial"/>
                <w:sz w:val="20"/>
              </w:rPr>
              <w:t>Apple MacBook Pro 14" (M3)</w:t>
            </w:r>
          </w:p>
        </w:tc>
        <w:tc>
          <w:tcPr>
            <w:tcW w:type="dxa" w:w="3249"/>
            <w:shd w:val="clear" w:color="auto" w:fill="FFFFFF"/>
          </w:tcPr>
          <w:p>
            <w:r>
              <w:rPr>
                <w:rFonts w:ascii="Arial" w:hAnsi="Arial"/>
                <w:sz w:val="20"/>
              </w:rPr>
              <w:t>USB-C dock, Magic Keyboard, Magic Mouse</w:t>
            </w:r>
          </w:p>
        </w:tc>
      </w:tr>
      <w:tr>
        <w:tc>
          <w:tcPr>
            <w:tcW w:type="dxa" w:w="3249"/>
            <w:shd w:val="clear" w:color="auto" w:fill="EEF4FA"/>
          </w:tcPr>
          <w:p>
            <w:r>
              <w:rPr>
                <w:rFonts w:ascii="Arial" w:hAnsi="Arial"/>
                <w:sz w:val="20"/>
              </w:rPr>
              <w:t>Temporary / Contract (&lt; 6 mo.)</w:t>
            </w:r>
          </w:p>
        </w:tc>
        <w:tc>
          <w:tcPr>
            <w:tcW w:type="dxa" w:w="3249"/>
            <w:shd w:val="clear" w:color="auto" w:fill="EEF4FA"/>
          </w:tcPr>
          <w:p>
            <w:r>
              <w:rPr>
                <w:rFonts w:ascii="Arial" w:hAnsi="Arial"/>
                <w:sz w:val="20"/>
              </w:rPr>
              <w:t>Dell Latitude 5440 (loaner pool)</w:t>
            </w:r>
          </w:p>
        </w:tc>
        <w:tc>
          <w:tcPr>
            <w:tcW w:type="dxa" w:w="3249"/>
            <w:shd w:val="clear" w:color="auto" w:fill="EEF4FA"/>
          </w:tcPr>
          <w:p>
            <w:r>
              <w:rPr>
                <w:rFonts w:ascii="Arial" w:hAnsi="Arial"/>
                <w:sz w:val="20"/>
              </w:rPr>
              <w:t>Headset only; no docking station</w:t>
            </w:r>
          </w:p>
        </w:tc>
      </w:tr>
    </w:tbl>
    <w:p/>
    <w:p>
      <w:pPr>
        <w:spacing w:before="20" w:after="80"/>
      </w:pPr>
      <w:r>
        <w:rPr>
          <w:rFonts w:ascii="Arial" w:hAnsi="Arial"/>
          <w:b w:val="0"/>
          <w:i w:val="0"/>
          <w:sz w:val="22"/>
        </w:rPr>
        <w:t>Non-standard equipment (dual monitors, standing desk peripherals, ergonomic accessories) requires manager approval and a separate Reasonable Accommodation or Equipment Exception request. Contact your IT Business Partner for guidance.</w:t>
      </w:r>
    </w:p>
    <w:p>
      <w:pPr>
        <w:spacing w:before="160" w:after="40"/>
      </w:pPr>
      <w:r>
        <w:rPr>
          <w:rFonts w:ascii="Arial" w:hAnsi="Arial"/>
          <w:b/>
          <w:i w:val="0"/>
          <w:color w:val="2E74B5"/>
          <w:sz w:val="26"/>
        </w:rPr>
        <w:t>How to Submit a Request</w:t>
      </w:r>
    </w:p>
    <w:p>
      <w:pPr>
        <w:numPr>
          <w:ilvl w:val="0"/>
          <w:numId w:val="1"/>
        </w:numPr>
        <w:pStyle w:val="ListParagraph"/>
        <w:ind w:left="360"/>
      </w:pPr>
      <w:r>
        <w:rPr>
          <w:rFonts w:ascii="Arial" w:hAnsi="Arial"/>
          <w:sz w:val="22"/>
        </w:rPr>
        <w:t>Log in to the IT Self-Service Portal at https://it.bluestar.com.</w:t>
      </w:r>
    </w:p>
    <w:p>
      <w:pPr>
        <w:numPr>
          <w:ilvl w:val="0"/>
          <w:numId w:val="1"/>
        </w:numPr>
        <w:pStyle w:val="ListParagraph"/>
        <w:ind w:left="360"/>
      </w:pPr>
      <w:r>
        <w:rPr>
          <w:rFonts w:ascii="Arial" w:hAnsi="Arial"/>
          <w:sz w:val="22"/>
        </w:rPr>
        <w:t>Select Service Catalog → HR &amp; Onboarding → New Hire / Transfer Equipment Request.</w:t>
      </w:r>
    </w:p>
    <w:p>
      <w:pPr>
        <w:numPr>
          <w:ilvl w:val="0"/>
          <w:numId w:val="1"/>
        </w:numPr>
        <w:pStyle w:val="ListParagraph"/>
        <w:ind w:left="360"/>
      </w:pPr>
      <w:r>
        <w:rPr>
          <w:rFonts w:ascii="Arial" w:hAnsi="Arial"/>
          <w:sz w:val="22"/>
        </w:rPr>
        <w:t>Complete all required fields: employee name, employee ID (if transfer), start/transfer date, station/location, role type, and manager name.</w:t>
      </w:r>
    </w:p>
    <w:p>
      <w:pPr>
        <w:numPr>
          <w:ilvl w:val="0"/>
          <w:numId w:val="1"/>
        </w:numPr>
        <w:pStyle w:val="ListParagraph"/>
        <w:ind w:left="360"/>
      </w:pPr>
      <w:r>
        <w:rPr>
          <w:rFonts w:ascii="Arial" w:hAnsi="Arial"/>
          <w:sz w:val="22"/>
        </w:rPr>
        <w:t>Select equipment tier from the approved list. Add any justified exceptions in the Notes field.</w:t>
      </w:r>
    </w:p>
    <w:p>
      <w:pPr>
        <w:numPr>
          <w:ilvl w:val="0"/>
          <w:numId w:val="1"/>
        </w:numPr>
        <w:pStyle w:val="ListParagraph"/>
        <w:ind w:left="360"/>
      </w:pPr>
      <w:r>
        <w:rPr>
          <w:rFonts w:ascii="Arial" w:hAnsi="Arial"/>
          <w:sz w:val="22"/>
        </w:rPr>
        <w:t>Submit the form. You will receive a confirmation with a ticket number (e.g., REQ0098765).</w:t>
      </w:r>
    </w:p>
    <w:p>
      <w:pPr>
        <w:numPr>
          <w:ilvl w:val="0"/>
          <w:numId w:val="1"/>
        </w:numPr>
        <w:pStyle w:val="ListParagraph"/>
        <w:ind w:left="360"/>
      </w:pPr>
      <w:r>
        <w:rPr>
          <w:rFonts w:ascii="Arial" w:hAnsi="Arial"/>
          <w:sz w:val="22"/>
        </w:rPr>
        <w:t>IT Procurement will confirm availability within 24 hours and send an estimated delivery date.</w:t>
      </w:r>
    </w:p>
    <w:p>
      <w:pPr>
        <w:spacing w:before="160" w:after="40"/>
      </w:pPr>
      <w:r>
        <w:rPr>
          <w:rFonts w:ascii="Arial" w:hAnsi="Arial"/>
          <w:b/>
          <w:i w:val="0"/>
          <w:color w:val="2E74B5"/>
          <w:sz w:val="26"/>
        </w:rPr>
        <w:t>Equipment Return for Departing or Transferring Employees</w:t>
      </w:r>
    </w:p>
    <w:p>
      <w:pPr>
        <w:numPr>
          <w:ilvl w:val="0"/>
          <w:numId w:val="1"/>
        </w:numPr>
        <w:pStyle w:val="ListParagraph"/>
        <w:ind w:left="360"/>
      </w:pPr>
      <w:r>
        <w:rPr>
          <w:rFonts w:ascii="Arial" w:hAnsi="Arial"/>
          <w:sz w:val="22"/>
        </w:rPr>
        <w:t>Managers must submit an Equipment Return ticket in the portal at least 3 business days before the employee's last day.</w:t>
      </w:r>
    </w:p>
    <w:p>
      <w:pPr>
        <w:numPr>
          <w:ilvl w:val="0"/>
          <w:numId w:val="1"/>
        </w:numPr>
        <w:pStyle w:val="ListParagraph"/>
        <w:ind w:left="360"/>
      </w:pPr>
      <w:r>
        <w:rPr>
          <w:rFonts w:ascii="Arial" w:hAnsi="Arial"/>
          <w:sz w:val="22"/>
        </w:rPr>
        <w:t>IT will wipe and re-image the device before it is reissued — do not wipe it manually.</w:t>
      </w:r>
    </w:p>
    <w:p>
      <w:pPr>
        <w:numPr>
          <w:ilvl w:val="0"/>
          <w:numId w:val="1"/>
        </w:numPr>
        <w:pStyle w:val="ListParagraph"/>
        <w:ind w:left="360"/>
      </w:pPr>
      <w:r>
        <w:rPr>
          <w:rFonts w:ascii="Arial" w:hAnsi="Arial"/>
          <w:sz w:val="22"/>
        </w:rPr>
        <w:t>For international stations, ship equipment to the nearest hub using the IT-provided shipping label (included in the return ticket).</w:t>
      </w:r>
    </w:p>
    <w:p>
      <w:pPr>
        <w:numPr>
          <w:ilvl w:val="0"/>
          <w:numId w:val="1"/>
        </w:numPr>
        <w:pStyle w:val="ListParagraph"/>
        <w:ind w:left="360"/>
      </w:pPr>
      <w:r>
        <w:rPr>
          <w:rFonts w:ascii="Arial" w:hAnsi="Arial"/>
          <w:sz w:val="22"/>
        </w:rPr>
        <w:t>Employees who retain company equipment beyond 5 business days of termination will have the cost deducted per the Equipment Responsibility Policy.</w:t>
      </w:r>
    </w:p>
    <w:p>
      <w:pPr>
        <w:spacing w:before="160" w:after="40"/>
      </w:pPr>
      <w:r>
        <w:rPr>
          <w:rFonts w:ascii="Arial" w:hAnsi="Arial"/>
          <w:b/>
          <w:i w:val="0"/>
          <w:color w:val="2E74B5"/>
          <w:sz w:val="26"/>
        </w:rPr>
        <w:t>Equipment Not Delivered by Start Date</w:t>
      </w:r>
    </w:p>
    <w:p>
      <w:pPr>
        <w:spacing w:before="20" w:after="80"/>
      </w:pPr>
      <w:r>
        <w:rPr>
          <w:rFonts w:ascii="Arial" w:hAnsi="Arial"/>
          <w:b w:val="0"/>
          <w:i w:val="0"/>
          <w:sz w:val="22"/>
        </w:rPr>
        <w:t>If equipment has not arrived by the employee's start date: (1) Log in to the portal and add an "Escalation Request" comment to the open ticket. (2) Call the IT Helpdesk (1-800-742-9300) and provide the ticket number. (3) A loaner from the Latitude 5440 pool can be issued same-day at any hub IT depot — the manager must request it in person or by phone. Loaner laptops have standard software pre-installed; custom application access provisioning follows the same timeline as the original order.</w:t>
      </w:r>
    </w:p>
    <w:p/>
    <w:p>
      <w:pPr>
        <w:spacing w:before="160" w:after="80"/>
      </w:pPr>
      <w:r>
        <w:rPr>
          <w:rFonts w:ascii="Arial" w:hAnsi="Arial"/>
          <w:b/>
          <w:i w:val="0"/>
          <w:color w:val="2E74B5"/>
          <w:sz w:val="32"/>
        </w:rPr>
        <w:t>Support Information</w:t>
      </w:r>
    </w:p>
    <w:tbl>
      <w:tblPr>
        <w:tblStyle w:val="TableGrid"/>
        <w:tblW w:type="auto" w:w="0"/>
        <w:tblLook w:firstColumn="1" w:firstRow="1" w:lastColumn="0" w:lastRow="0" w:noHBand="0" w:noVBand="1" w:val="04A0"/>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Pr>
      <w:tblGrid>
        <w:gridCol w:w="2436"/>
        <w:gridCol w:w="2436"/>
        <w:gridCol w:w="2436"/>
        <w:gridCol w:w="2436"/>
      </w:tblGrid>
      <w:tr>
        <w:tc>
          <w:tcPr>
            <w:tcW w:type="dxa" w:w="2436"/>
            <w:shd w:val="clear" w:color="auto" w:fill="2E74B5"/>
          </w:tcPr>
          <w:p>
            <w:r>
              <w:rPr>
                <w:rFonts w:ascii="Arial" w:hAnsi="Arial"/>
                <w:b/>
                <w:color w:val="FFFFFF"/>
                <w:sz w:val="20"/>
              </w:rPr>
              <w:t>Name</w:t>
            </w:r>
          </w:p>
        </w:tc>
        <w:tc>
          <w:tcPr>
            <w:tcW w:type="dxa" w:w="2436"/>
            <w:shd w:val="clear" w:color="auto" w:fill="2E74B5"/>
          </w:tcPr>
          <w:p>
            <w:r>
              <w:rPr>
                <w:rFonts w:ascii="Arial" w:hAnsi="Arial"/>
                <w:b/>
                <w:color w:val="FFFFFF"/>
                <w:sz w:val="20"/>
              </w:rPr>
              <w:t>Role</w:t>
            </w:r>
          </w:p>
        </w:tc>
        <w:tc>
          <w:tcPr>
            <w:tcW w:type="dxa" w:w="2436"/>
            <w:shd w:val="clear" w:color="auto" w:fill="2E74B5"/>
          </w:tcPr>
          <w:p>
            <w:r>
              <w:rPr>
                <w:rFonts w:ascii="Arial" w:hAnsi="Arial"/>
                <w:b/>
                <w:color w:val="FFFFFF"/>
                <w:sz w:val="20"/>
              </w:rPr>
              <w:t>Email</w:t>
            </w:r>
          </w:p>
        </w:tc>
        <w:tc>
          <w:tcPr>
            <w:tcW w:type="dxa" w:w="2436"/>
            <w:shd w:val="clear" w:color="auto" w:fill="2E74B5"/>
          </w:tcPr>
          <w:p>
            <w:r>
              <w:rPr>
                <w:rFonts w:ascii="Arial" w:hAnsi="Arial"/>
                <w:b/>
                <w:color w:val="FFFFFF"/>
                <w:sz w:val="20"/>
              </w:rPr>
              <w:t>Phone</w:t>
            </w:r>
          </w:p>
        </w:tc>
      </w:tr>
      <w:tr>
        <w:tc>
          <w:tcPr>
            <w:tcW w:type="dxa" w:w="2436"/>
            <w:shd w:val="clear" w:color="auto" w:fill="EEF4FA"/>
          </w:tcPr>
          <w:p>
            <w:r>
              <w:rPr>
                <w:rFonts w:ascii="Arial" w:hAnsi="Arial"/>
                <w:sz w:val="20"/>
              </w:rPr>
              <w:t>IT Helpdesk</w:t>
            </w:r>
          </w:p>
        </w:tc>
        <w:tc>
          <w:tcPr>
            <w:tcW w:type="dxa" w:w="2436"/>
            <w:shd w:val="clear" w:color="auto" w:fill="EEF4FA"/>
          </w:tcPr>
          <w:p>
            <w:r>
              <w:rPr>
                <w:rFonts w:ascii="Arial" w:hAnsi="Arial"/>
                <w:sz w:val="20"/>
              </w:rPr>
              <w:t>General IT &amp; Equipment Questions</w:t>
            </w:r>
          </w:p>
        </w:tc>
        <w:tc>
          <w:tcPr>
            <w:tcW w:type="dxa" w:w="2436"/>
            <w:shd w:val="clear" w:color="auto" w:fill="EEF4FA"/>
          </w:tcPr>
          <w:p>
            <w:r>
              <w:rPr>
                <w:rFonts w:ascii="Arial" w:hAnsi="Arial"/>
                <w:sz w:val="20"/>
              </w:rPr>
              <w:t>helpdesk@bluestar.com</w:t>
            </w:r>
          </w:p>
        </w:tc>
        <w:tc>
          <w:tcPr>
            <w:tcW w:type="dxa" w:w="2436"/>
            <w:shd w:val="clear" w:color="auto" w:fill="EEF4FA"/>
          </w:tcPr>
          <w:p>
            <w:r>
              <w:rPr>
                <w:rFonts w:ascii="Arial" w:hAnsi="Arial"/>
                <w:sz w:val="20"/>
              </w:rPr>
              <w:t>1-800-742-9300</w:t>
            </w:r>
          </w:p>
        </w:tc>
      </w:tr>
      <w:tr>
        <w:tc>
          <w:tcPr>
            <w:tcW w:type="dxa" w:w="2436"/>
            <w:shd w:val="clear" w:color="auto" w:fill="FFFFFF"/>
          </w:tcPr>
          <w:p>
            <w:r>
              <w:rPr>
                <w:rFonts w:ascii="Arial" w:hAnsi="Arial"/>
                <w:sz w:val="20"/>
              </w:rPr>
              <w:t>IT Procurement</w:t>
            </w:r>
          </w:p>
        </w:tc>
        <w:tc>
          <w:tcPr>
            <w:tcW w:type="dxa" w:w="2436"/>
            <w:shd w:val="clear" w:color="auto" w:fill="FFFFFF"/>
          </w:tcPr>
          <w:p>
            <w:r>
              <w:rPr>
                <w:rFonts w:ascii="Arial" w:hAnsi="Arial"/>
                <w:sz w:val="20"/>
              </w:rPr>
              <w:t>Equipment Orders &amp; Delivery</w:t>
            </w:r>
          </w:p>
        </w:tc>
        <w:tc>
          <w:tcPr>
            <w:tcW w:type="dxa" w:w="2436"/>
            <w:shd w:val="clear" w:color="auto" w:fill="FFFFFF"/>
          </w:tcPr>
          <w:p>
            <w:r>
              <w:rPr>
                <w:rFonts w:ascii="Arial" w:hAnsi="Arial"/>
                <w:sz w:val="20"/>
              </w:rPr>
              <w:t>itprocurement@bluestar.com</w:t>
            </w:r>
          </w:p>
        </w:tc>
        <w:tc>
          <w:tcPr>
            <w:tcW w:type="dxa" w:w="2436"/>
            <w:shd w:val="clear" w:color="auto" w:fill="FFFFFF"/>
          </w:tcPr>
          <w:p>
            <w:r>
              <w:rPr>
                <w:rFonts w:ascii="Arial" w:hAnsi="Arial"/>
                <w:sz w:val="20"/>
              </w:rPr>
              <w:t>x9330</w:t>
            </w:r>
          </w:p>
        </w:tc>
      </w:tr>
      <w:tr>
        <w:tc>
          <w:tcPr>
            <w:tcW w:type="dxa" w:w="2436"/>
            <w:shd w:val="clear" w:color="auto" w:fill="EEF4FA"/>
          </w:tcPr>
          <w:p>
            <w:r>
              <w:rPr>
                <w:rFonts w:ascii="Arial" w:hAnsi="Arial"/>
                <w:sz w:val="20"/>
              </w:rPr>
              <w:t>Chen, Linda</w:t>
            </w:r>
          </w:p>
        </w:tc>
        <w:tc>
          <w:tcPr>
            <w:tcW w:type="dxa" w:w="2436"/>
            <w:shd w:val="clear" w:color="auto" w:fill="EEF4FA"/>
          </w:tcPr>
          <w:p>
            <w:r>
              <w:rPr>
                <w:rFonts w:ascii="Arial" w:hAnsi="Arial"/>
                <w:sz w:val="20"/>
              </w:rPr>
              <w:t>IT Business Partner</w:t>
            </w:r>
          </w:p>
        </w:tc>
        <w:tc>
          <w:tcPr>
            <w:tcW w:type="dxa" w:w="2436"/>
            <w:shd w:val="clear" w:color="auto" w:fill="EEF4FA"/>
          </w:tcPr>
          <w:p>
            <w:r>
              <w:rPr>
                <w:rFonts w:ascii="Arial" w:hAnsi="Arial"/>
                <w:sz w:val="20"/>
              </w:rPr>
              <w:t>lchen@bluestar.com</w:t>
            </w:r>
          </w:p>
        </w:tc>
        <w:tc>
          <w:tcPr>
            <w:tcW w:type="dxa" w:w="2436"/>
            <w:shd w:val="clear" w:color="auto" w:fill="EEF4FA"/>
          </w:tcPr>
          <w:p>
            <w:r>
              <w:rPr>
                <w:rFonts w:ascii="Arial" w:hAnsi="Arial"/>
                <w:sz w:val="20"/>
              </w:rPr>
              <w:t>x9332</w:t>
            </w:r>
          </w:p>
        </w:tc>
      </w:tr>
    </w:tbl>
    <w:p/>
    <w:p>
      <w:pPr>
        <w:spacing w:before="160" w:after="80"/>
      </w:pPr>
      <w:r>
        <w:rPr>
          <w:rFonts w:ascii="Arial" w:hAnsi="Arial"/>
          <w:b/>
          <w:i w:val="0"/>
          <w:color w:val="2E74B5"/>
          <w:sz w:val="32"/>
        </w:rPr>
        <w:t>Related Articles</w:t>
      </w:r>
    </w:p>
    <w:p>
      <w:pPr>
        <w:spacing w:before="20" w:after="40"/>
      </w:pPr>
      <w:r>
        <w:rPr>
          <w:rFonts w:ascii="Arial" w:hAnsi="Arial"/>
          <w:b w:val="0"/>
          <w:i w:val="0"/>
          <w:color w:val="0563C1"/>
          <w:sz w:val="22"/>
        </w:rPr>
        <w:t>• KB006 – Submitting an IT Support Request via the Self-Service Portal</w:t>
      </w:r>
    </w:p>
    <w:p>
      <w:pPr>
        <w:spacing w:before="20" w:after="40"/>
      </w:pPr>
      <w:r>
        <w:rPr>
          <w:rFonts w:ascii="Arial" w:hAnsi="Arial"/>
          <w:b w:val="0"/>
          <w:i w:val="0"/>
          <w:color w:val="0563C1"/>
          <w:sz w:val="22"/>
        </w:rPr>
        <w:t>• BlueStar Equipment Responsibility Policy – available on the HR Intranet</w:t>
      </w:r>
    </w:p>
    <w:p>
      <w:pPr>
        <w:spacing w:before="20" w:after="40"/>
      </w:pPr>
      <w:r>
        <w:rPr>
          <w:rFonts w:ascii="Arial" w:hAnsi="Arial"/>
          <w:b w:val="0"/>
          <w:i w:val="0"/>
          <w:color w:val="0563C1"/>
          <w:sz w:val="22"/>
        </w:rPr>
        <w:t>• BlueStar Software Request Process – HR Intranet → IT Services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3f34e6-98e4-41bc-8c28-d5c039906545_Enabled">
    <vt:lpwstr>true</vt:lpwstr>
  </property>
  <property fmtid="{D5CDD505-2E9C-101B-9397-08002B2CF9AE}" pid="3" name="MSIP_Label_1f3f34e6-98e4-41bc-8c28-d5c039906545_SetDate">
    <vt:lpwstr>2026-06-16T18:05:29Z</vt:lpwstr>
  </property>
  <property fmtid="{D5CDD505-2E9C-101B-9397-08002B2CF9AE}" pid="4" name="MSIP_Label_1f3f34e6-98e4-41bc-8c28-d5c039906545_Method">
    <vt:lpwstr>Standard</vt:lpwstr>
  </property>
  <property fmtid="{D5CDD505-2E9C-101B-9397-08002B2CF9AE}" pid="5" name="MSIP_Label_1f3f34e6-98e4-41bc-8c28-d5c039906545_Name">
    <vt:lpwstr>Internal</vt:lpwstr>
  </property>
  <property fmtid="{D5CDD505-2E9C-101B-9397-08002B2CF9AE}" pid="6" name="MSIP_Label_1f3f34e6-98e4-41bc-8c28-d5c039906545_SiteId">
    <vt:lpwstr>82a76afe-3939-4043-8f87-4a6fb9e9e477</vt:lpwstr>
  </property>
  <property fmtid="{D5CDD505-2E9C-101B-9397-08002B2CF9AE}" pid="7" name="MSIP_Label_1f3f34e6-98e4-41bc-8c28-d5c039906545_ActionId">
    <vt:lpwstr>7daab1e2-0bc6-4304-929d-f3a1461e3c6f</vt:lpwstr>
  </property>
  <property fmtid="{D5CDD505-2E9C-101B-9397-08002B2CF9AE}" pid="8" name="MSIP_Label_1f3f34e6-98e4-41bc-8c28-d5c039906545_ContentBits">
    <vt:lpwstr>0</vt:lpwstr>
  </property>
</Properties>
</file>