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Default="00E126F9" w:rsidP="00B564D3">
      <w:r>
        <w:t xml:space="preserve">Signatur des Absenders bestätigt, dass die Mail vom PrivateKey welcher zum von der Universität verifizierten PublicKey signiert wurde </w:t>
      </w:r>
    </w:p>
    <w:p w14:paraId="6BE081C2" w14:textId="0616CAF8" w:rsidR="006A2801" w:rsidRDefault="006A2801" w:rsidP="00B564D3">
      <w:r>
        <w:t>Mail selbst wurde mit dem PublicKey des Empfängers verschlüsselt und kann nur mit dessen privateKey entschlüsselt werden</w:t>
      </w:r>
    </w:p>
    <w:p w14:paraId="320198B6" w14:textId="77777777" w:rsidR="006A2801" w:rsidRDefault="006A2801" w:rsidP="00B564D3"/>
    <w:p w14:paraId="46BFF933" w14:textId="57CB5410" w:rsidR="006A2801" w:rsidRDefault="006A2801" w:rsidP="00B564D3">
      <w:pPr>
        <w:rPr>
          <w:b/>
          <w:bCs/>
          <w:u w:val="single"/>
        </w:rPr>
      </w:pPr>
      <w:r w:rsidRPr="006A2801">
        <w:rPr>
          <w:b/>
          <w:bCs/>
          <w:u w:val="single"/>
        </w:rPr>
        <w:t>Beim Senden einer Mail muss der publicKey</w:t>
      </w:r>
      <w:r>
        <w:rPr>
          <w:b/>
          <w:bCs/>
          <w:u w:val="single"/>
        </w:rPr>
        <w:t xml:space="preserve"> des Empfängers</w:t>
      </w:r>
      <w:r w:rsidRPr="006A2801">
        <w:rPr>
          <w:b/>
          <w:bCs/>
          <w:u w:val="single"/>
        </w:rPr>
        <w:t xml:space="preserve"> </w:t>
      </w:r>
      <w:r>
        <w:rPr>
          <w:b/>
          <w:bCs/>
          <w:u w:val="single"/>
        </w:rPr>
        <w:t>bei</w:t>
      </w:r>
      <w:r w:rsidRPr="006A2801">
        <w:rPr>
          <w:b/>
          <w:bCs/>
          <w:u w:val="single"/>
        </w:rPr>
        <w:t xml:space="preserve"> der Uni angefragt werden</w:t>
      </w:r>
      <w:r>
        <w:rPr>
          <w:b/>
          <w:bCs/>
          <w:u w:val="single"/>
        </w:rPr>
        <w:t>!</w:t>
      </w:r>
    </w:p>
    <w:p w14:paraId="7E2CB036" w14:textId="5A3B7E07" w:rsidR="00F9732A" w:rsidRDefault="00F9732A" w:rsidP="00B564D3">
      <w:r>
        <w:lastRenderedPageBreak/>
        <w:t>Der Benutzer sollte vielleicht  in der Lage sein, das Schlüsselpaar zu Beginn einmalig selbst zu generiern. Daraufhin würde er den publicKey an die Universität senden. Dadurch könnte man sicherstellen, dass der privateKey nie an eine Instanz weiter gegeben wird.</w:t>
      </w:r>
    </w:p>
    <w:p w14:paraId="0F1BB708" w14:textId="77777777" w:rsidR="00690BBA" w:rsidRDefault="00690BBA" w:rsidP="00B564D3"/>
    <w:p w14:paraId="5ED5B3FB" w14:textId="0AA3EA6E" w:rsidR="00690BBA" w:rsidRDefault="00690BBA" w:rsidP="00B564D3">
      <w:r>
        <w:t xml:space="preserve">Jeder Student/Mitarbeiter/Mensch m bekommt eine DID zugeordnet. m bekommt ein VC von der Universität aus gestellt. Mit diesem kann jede andere Instanz die Rolle von m verifizieren.  </w:t>
      </w:r>
    </w:p>
    <w:p w14:paraId="38C7E722" w14:textId="77777777" w:rsidR="00377DB4" w:rsidRDefault="00377DB4"/>
    <w:p w14:paraId="6F40AC82" w14:textId="7F7C3F27" w:rsidR="00F9732A" w:rsidRDefault="00377DB4">
      <w:r>
        <w:t>Den publicKey kann man online einsehen. Kollektive Seite aller Unis für publicKeys</w:t>
      </w:r>
      <w:r w:rsidR="00F9732A">
        <w:br w:type="page"/>
      </w:r>
    </w:p>
    <w:p w14:paraId="4F19C342" w14:textId="77777777" w:rsidR="006A2801" w:rsidRPr="006A2801" w:rsidRDefault="006A2801" w:rsidP="00B564D3"/>
    <w:sectPr w:rsidR="006A2801" w:rsidRPr="006A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3"/>
  </w:num>
  <w:num w:numId="4" w16cid:durableId="149109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377DB4"/>
    <w:rsid w:val="004141EA"/>
    <w:rsid w:val="0052421E"/>
    <w:rsid w:val="00677C62"/>
    <w:rsid w:val="00690BBA"/>
    <w:rsid w:val="006A2801"/>
    <w:rsid w:val="009C7776"/>
    <w:rsid w:val="00B564D3"/>
    <w:rsid w:val="00C96861"/>
    <w:rsid w:val="00E126F9"/>
    <w:rsid w:val="00E901ED"/>
    <w:rsid w:val="00F973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15</cp:revision>
  <dcterms:created xsi:type="dcterms:W3CDTF">2024-04-11T06:38:00Z</dcterms:created>
  <dcterms:modified xsi:type="dcterms:W3CDTF">2024-05-01T18:42:00Z</dcterms:modified>
</cp:coreProperties>
</file>