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pPr>
      <w:r>
        <w:rPr>
          <w:rFonts w:ascii="Arial" w:hAnsi="Arial"/>
        </w:rPr>
        <w:tab/>
        <w:tab/>
        <w:tab/>
        <w:tab/>
      </w:r>
      <w:r>
        <w:rPr>
          <w:rFonts w:ascii="Arial" w:hAnsi="Arial"/>
          <w:b w:val="1"/>
          <w:bCs w:val="1"/>
          <w:sz w:val="48"/>
          <w:szCs w:val="48"/>
          <w:rtl w:val="0"/>
        </w:rPr>
        <w:t>PROPOSAL</w:t>
      </w:r>
    </w:p>
    <w:p>
      <w:pPr>
        <w:pStyle w:val="Text"/>
      </w:pPr>
    </w:p>
    <w:p>
      <w:pPr>
        <w:pStyle w:val="Text"/>
        <w:widowControl w:val="0"/>
        <w:spacing w:after="240"/>
      </w:pPr>
      <w:r>
        <w:rPr>
          <w:rFonts w:ascii="Arial" w:hAnsi="Arial"/>
          <w:b w:val="1"/>
          <w:bCs w:val="1"/>
          <w:sz w:val="32"/>
          <w:szCs w:val="32"/>
          <w:rtl w:val="0"/>
          <w:lang w:val="en-US"/>
        </w:rPr>
        <w:t xml:space="preserve">Project Title: </w:t>
      </w:r>
      <w:r>
        <w:rPr>
          <w:rFonts w:ascii="Arial" w:hAnsi="Arial"/>
          <w:sz w:val="28"/>
          <w:szCs w:val="28"/>
          <w:rtl w:val="0"/>
          <w:lang w:val="en-US"/>
        </w:rPr>
        <w:t>Affective Music Information Retrieval</w:t>
      </w:r>
      <w:r>
        <w:rPr>
          <w:rFonts w:ascii="Arial" w:hAnsi="Arial"/>
          <w:sz w:val="56"/>
          <w:szCs w:val="56"/>
          <w:rtl w:val="0"/>
        </w:rPr>
        <w:t xml:space="preserve"> </w:t>
      </w:r>
    </w:p>
    <w:p>
      <w:pPr>
        <w:pStyle w:val="Text"/>
        <w:widowControl w:val="0"/>
        <w:spacing w:after="240"/>
      </w:pPr>
      <w:r>
        <w:rPr>
          <w:rFonts w:ascii="Arial" w:hAnsi="Arial"/>
          <w:b w:val="1"/>
          <w:bCs w:val="1"/>
          <w:color w:val="000000"/>
          <w:sz w:val="32"/>
          <w:szCs w:val="32"/>
          <w:u w:color="000000"/>
          <w:rtl w:val="0"/>
          <w:lang w:val="en-US"/>
        </w:rPr>
        <w:t>Project Summary</w:t>
      </w:r>
      <w:r>
        <w:rPr>
          <w:rFonts w:ascii="Arial" w:hAnsi="Arial"/>
          <w:b w:val="1"/>
          <w:bCs w:val="1"/>
          <w:color w:val="000000"/>
          <w:sz w:val="18"/>
          <w:szCs w:val="18"/>
          <w:u w:color="000000"/>
          <w:rtl w:val="0"/>
        </w:rPr>
        <w:t xml:space="preserve">: </w:t>
      </w:r>
      <w:r>
        <w:rPr>
          <w:rFonts w:ascii="Arial" w:hAnsi="Arial"/>
          <w:rtl w:val="0"/>
          <w:lang w:val="de-DE"/>
        </w:rPr>
        <w:t>In our project we c</w:t>
      </w:r>
      <w:r>
        <w:rPr>
          <w:rFonts w:ascii="Arial" w:hAnsi="Arial"/>
          <w:rtl w:val="0"/>
          <w:lang w:val="en-US"/>
        </w:rPr>
        <w:t>ategorize songs according to the</w:t>
      </w:r>
      <w:r>
        <w:rPr>
          <w:rFonts w:ascii="Arial" w:hAnsi="Arial"/>
          <w:rtl w:val="0"/>
          <w:lang w:val="de-DE"/>
        </w:rPr>
        <w:t>ir</w:t>
      </w:r>
      <w:r>
        <w:rPr>
          <w:rFonts w:ascii="Arial" w:hAnsi="Arial"/>
          <w:rtl w:val="0"/>
          <w:lang w:val="en-US"/>
        </w:rPr>
        <w:t xml:space="preserve"> moods and emotions. T</w:t>
      </w:r>
      <w:r>
        <w:rPr>
          <w:rFonts w:ascii="Arial" w:hAnsi="Arial"/>
          <w:rtl w:val="0"/>
          <w:lang w:val="de-DE"/>
        </w:rPr>
        <w:t xml:space="preserve">herefore, </w:t>
      </w:r>
      <w:r>
        <w:rPr>
          <w:rFonts w:ascii="Arial" w:hAnsi="Arial"/>
          <w:rtl w:val="0"/>
          <w:lang w:val="en-US"/>
        </w:rPr>
        <w:t xml:space="preserve">we use </w:t>
      </w:r>
      <w:r>
        <w:rPr>
          <w:rFonts w:ascii="Arial" w:hAnsi="Arial"/>
          <w:rtl w:val="0"/>
          <w:lang w:val="de-DE"/>
        </w:rPr>
        <w:t>the lyrics of a song</w:t>
      </w:r>
      <w:r>
        <w:rPr>
          <w:rFonts w:ascii="Arial" w:hAnsi="Arial"/>
          <w:rtl w:val="0"/>
        </w:rPr>
        <w:t>.</w:t>
      </w:r>
      <w:r>
        <w:rPr>
          <w:rFonts w:ascii="Arial" w:hAnsi="Arial"/>
          <w:rtl w:val="0"/>
          <w:lang w:val="de-DE"/>
        </w:rPr>
        <w:t xml:space="preserve"> With different term-weighting schemes we classify songs of a public available dataset (the million songs dataset) into different moods. At the end we test the accuracy of the classification.</w:t>
      </w:r>
    </w:p>
    <w:p>
      <w:pPr>
        <w:pStyle w:val="Text"/>
        <w:widowControl w:val="0"/>
        <w:spacing w:after="240"/>
      </w:pPr>
      <w:r>
        <w:rPr>
          <w:rFonts w:ascii="Arial" w:hAnsi="Arial"/>
          <w:rtl w:val="0"/>
          <w:lang w:val="de-DE"/>
        </w:rPr>
        <w:t xml:space="preserve">In our term project we will replicate the paper  </w:t>
      </w:r>
      <w:r>
        <w:rPr>
          <w:rFonts w:ascii="Arial" w:hAnsi="Arial"/>
          <w:rtl w:val="0"/>
          <w:lang w:val="en-US"/>
        </w:rPr>
        <w:t>"An Exploration of Mood Classification in the Million Songs Dataset", Humberto Corona and Michael P. O'Mahony, In proceedings of the Sound and Music Computing conference, Maynooth, Ireland, 2015.</w:t>
      </w:r>
      <w:r>
        <w:rPr>
          <w:rFonts w:ascii="Arial" w:hAnsi="Arial"/>
          <w:rtl w:val="0"/>
          <w:lang w:val="de-DE"/>
        </w:rPr>
        <w:t xml:space="preserve"> </w:t>
      </w:r>
    </w:p>
    <w:p>
      <w:pPr>
        <w:pStyle w:val="Text"/>
      </w:pPr>
      <w:r>
        <w:rPr>
          <w:rFonts w:ascii="Arial" w:hAnsi="Arial"/>
          <w:b w:val="1"/>
          <w:bCs w:val="1"/>
          <w:color w:val="000000"/>
          <w:sz w:val="32"/>
          <w:szCs w:val="32"/>
          <w:u w:color="000000"/>
          <w:rtl w:val="0"/>
          <w:lang w:val="en-US"/>
        </w:rPr>
        <w:t xml:space="preserve">Prepared by: </w:t>
      </w:r>
      <w:r>
        <w:rPr>
          <w:rFonts w:ascii="Arial" w:hAnsi="Arial"/>
          <w:color w:val="000000"/>
          <w:u w:color="000000"/>
          <w:rtl w:val="0"/>
        </w:rPr>
        <w:t>B</w:t>
      </w:r>
      <w:r>
        <w:rPr>
          <w:rFonts w:ascii="Arial" w:hAnsi="Arial" w:hint="default"/>
          <w:color w:val="000000"/>
          <w:u w:color="000000"/>
          <w:rtl w:val="0"/>
          <w:lang w:val="en-US"/>
        </w:rPr>
        <w:t>üş</w:t>
      </w:r>
      <w:r>
        <w:rPr>
          <w:rFonts w:ascii="Arial" w:hAnsi="Arial"/>
          <w:color w:val="000000"/>
          <w:u w:color="000000"/>
          <w:rtl w:val="0"/>
        </w:rPr>
        <w:t>ra Demir and Alena Beyer</w:t>
      </w:r>
    </w:p>
    <w:p>
      <w:pPr>
        <w:pStyle w:val="Text"/>
      </w:pPr>
    </w:p>
    <w:p>
      <w:pPr>
        <w:pStyle w:val="Text"/>
        <w:spacing w:line="270" w:lineRule="atLeast"/>
      </w:pPr>
      <w:r>
        <w:rPr>
          <w:rFonts w:ascii="Arial" w:hAnsi="Arial"/>
          <w:b w:val="1"/>
          <w:bCs w:val="1"/>
          <w:color w:val="000000"/>
          <w:sz w:val="32"/>
          <w:szCs w:val="32"/>
          <w:u w:color="000000"/>
          <w:rtl w:val="0"/>
          <w:lang w:val="en-US"/>
        </w:rPr>
        <w:t xml:space="preserve">Project Contacts: </w:t>
      </w:r>
    </w:p>
    <w:p>
      <w:pPr>
        <w:pStyle w:val="Text"/>
        <w:spacing w:line="270" w:lineRule="atLeast"/>
      </w:pPr>
      <w:r>
        <w:rPr>
          <w:rStyle w:val="Hyperlink.0"/>
        </w:rPr>
        <w:fldChar w:fldCharType="begin" w:fldLock="0"/>
      </w:r>
      <w:r>
        <w:rPr>
          <w:rStyle w:val="Hyperlink.0"/>
        </w:rPr>
        <w:instrText xml:space="preserve"> HYPERLINK "mailto:bsrnrdmr@gmail.com"</w:instrText>
      </w:r>
      <w:r>
        <w:rPr>
          <w:rStyle w:val="Hyperlink.0"/>
        </w:rPr>
        <w:fldChar w:fldCharType="separate" w:fldLock="0"/>
      </w:r>
      <w:r>
        <w:rPr>
          <w:rStyle w:val="Hyperlink.0"/>
          <w:rtl w:val="0"/>
          <w:lang w:val="en-US"/>
        </w:rPr>
        <w:t>bsrnrdmr@gmail.com</w:t>
      </w:r>
      <w:r>
        <w:rPr/>
        <w:fldChar w:fldCharType="end" w:fldLock="0"/>
      </w:r>
      <w:r>
        <w:rPr>
          <w:rStyle w:val="Hyperlink.0"/>
          <w:rFonts w:ascii="Arial" w:hAnsi="Arial"/>
          <w:rtl w:val="0"/>
        </w:rPr>
        <w:t>:</w:t>
      </w:r>
      <w:r>
        <w:rPr>
          <w:rStyle w:val="Hyperlink.0"/>
          <w:rFonts w:ascii="Arial" w:hAnsi="Arial"/>
          <w:rtl w:val="0"/>
          <w:lang w:val="de-DE"/>
        </w:rPr>
        <w:t xml:space="preserve"> </w:t>
      </w:r>
      <w:r>
        <w:rPr>
          <w:rStyle w:val="Hyperlink.0"/>
          <w:rFonts w:ascii="Arial" w:hAnsi="Arial"/>
          <w:color w:val="000000"/>
          <w:u w:val="none"/>
          <w:rtl w:val="0"/>
        </w:rPr>
        <w:t>B</w:t>
      </w:r>
      <w:r>
        <w:rPr>
          <w:rStyle w:val="Hyperlink.0"/>
          <w:rFonts w:ascii="Arial" w:hAnsi="Arial" w:hint="default"/>
          <w:color w:val="000000"/>
          <w:u w:val="none"/>
          <w:rtl w:val="0"/>
          <w:lang w:val="en-US"/>
        </w:rPr>
        <w:t>üş</w:t>
      </w:r>
      <w:r>
        <w:rPr>
          <w:rStyle w:val="Hyperlink.0"/>
          <w:rFonts w:ascii="Arial" w:hAnsi="Arial"/>
          <w:color w:val="000000"/>
          <w:u w:val="none"/>
          <w:rtl w:val="0"/>
        </w:rPr>
        <w:t>ra</w:t>
      </w:r>
      <w:r>
        <w:rPr>
          <w:rFonts w:ascii="Arial" w:hAnsi="Arial"/>
          <w:color w:val="000000"/>
          <w:u w:color="000000"/>
          <w:rtl w:val="0"/>
        </w:rPr>
        <w:t xml:space="preserve"> Demir</w:t>
      </w:r>
    </w:p>
    <w:p>
      <w:pPr>
        <w:pStyle w:val="Text"/>
        <w:spacing w:line="270" w:lineRule="atLeast"/>
      </w:pPr>
      <w:r>
        <w:rPr>
          <w:rStyle w:val="Hyperlink.0"/>
        </w:rPr>
        <w:fldChar w:fldCharType="begin" w:fldLock="0"/>
      </w:r>
      <w:r>
        <w:rPr>
          <w:rStyle w:val="Hyperlink.0"/>
        </w:rPr>
        <w:instrText xml:space="preserve"> HYPERLINK "mailto:alena.beyer@gmail.com"</w:instrText>
      </w:r>
      <w:r>
        <w:rPr>
          <w:rStyle w:val="Hyperlink.0"/>
        </w:rPr>
        <w:fldChar w:fldCharType="separate" w:fldLock="0"/>
      </w:r>
      <w:r>
        <w:rPr>
          <w:rStyle w:val="Hyperlink.0"/>
          <w:rtl w:val="0"/>
          <w:lang w:val="en-US"/>
        </w:rPr>
        <w:t>alena.beyer@gmail.com</w:t>
      </w:r>
      <w:r>
        <w:rPr/>
        <w:fldChar w:fldCharType="end" w:fldLock="0"/>
      </w:r>
      <w:r>
        <w:rPr>
          <w:rFonts w:ascii="Arial" w:hAnsi="Arial"/>
          <w:color w:val="000000"/>
          <w:u w:color="000000"/>
          <w:rtl w:val="0"/>
          <w:lang w:val="de-DE"/>
        </w:rPr>
        <w:t>: Alena</w:t>
      </w:r>
      <w:r>
        <w:rPr>
          <w:rFonts w:ascii="Arial" w:hAnsi="Arial"/>
          <w:color w:val="000000"/>
          <w:u w:color="000000"/>
          <w:rtl w:val="0"/>
        </w:rPr>
        <w:t xml:space="preserve"> Beyer</w:t>
      </w:r>
    </w:p>
    <w:p>
      <w:pPr>
        <w:pStyle w:val="Text"/>
        <w:spacing w:line="270" w:lineRule="atLeast"/>
      </w:pPr>
    </w:p>
    <w:p>
      <w:pPr>
        <w:pStyle w:val="Text"/>
        <w:spacing w:line="270" w:lineRule="atLeast"/>
      </w:pPr>
    </w:p>
    <w:p>
      <w:pPr>
        <w:pStyle w:val="Überschrift 3"/>
        <w:spacing w:before="0" w:after="0"/>
      </w:pPr>
      <w:r>
        <w:rPr>
          <w:rFonts w:ascii="Arial" w:hAnsi="Arial"/>
          <w:color w:val="000000"/>
          <w:sz w:val="32"/>
          <w:szCs w:val="32"/>
          <w:u w:color="000000"/>
          <w:rtl w:val="0"/>
          <w:lang w:val="en-US"/>
        </w:rPr>
        <w:t>Project Methodology</w:t>
      </w:r>
      <w:r>
        <w:rPr>
          <w:rFonts w:ascii="Arial" w:hAnsi="Arial"/>
          <w:color w:val="000000"/>
          <w:sz w:val="32"/>
          <w:szCs w:val="32"/>
          <w:u w:color="000000"/>
          <w:rtl w:val="0"/>
          <w:lang w:val="de-DE"/>
        </w:rPr>
        <w:t xml:space="preserve">: </w:t>
      </w:r>
    </w:p>
    <w:p>
      <w:pPr>
        <w:pStyle w:val="Text"/>
        <w:widowControl w:val="0"/>
        <w:numPr>
          <w:ilvl w:val="0"/>
          <w:numId w:val="2"/>
        </w:numPr>
        <w:spacing w:after="240"/>
        <w:rPr>
          <w:lang w:val="de-DE"/>
        </w:rPr>
      </w:pPr>
      <w:r>
        <w:rPr>
          <w:color w:val="000000"/>
          <w:u w:color="000000"/>
          <w:rtl w:val="0"/>
          <w:lang w:val="de-DE"/>
        </w:rPr>
        <w:t xml:space="preserve">First we build our dataset out of three different public available datasets </w:t>
      </w:r>
      <w:r>
        <w:rPr>
          <w:i w:val="1"/>
          <w:iCs w:val="1"/>
          <w:color w:val="000000"/>
          <w:u w:color="000000"/>
          <w:rtl w:val="0"/>
          <w:lang w:val="de-DE"/>
        </w:rPr>
        <w:t>(</w:t>
      </w:r>
      <w:r>
        <w:rPr>
          <w:i w:val="1"/>
          <w:iCs w:val="1"/>
          <w:rtl w:val="0"/>
          <w:lang w:val="de-DE"/>
        </w:rPr>
        <w:t>the M</w:t>
      </w:r>
      <w:r>
        <w:rPr>
          <w:i w:val="1"/>
          <w:iCs w:val="1"/>
          <w:rtl w:val="0"/>
          <w:lang w:val="en-US"/>
        </w:rPr>
        <w:t>IREX 2009 mood multi-tag dataset</w:t>
      </w:r>
      <w:r>
        <w:rPr>
          <w:i w:val="1"/>
          <w:iCs w:val="1"/>
          <w:rtl w:val="0"/>
          <w:lang w:val="de-DE"/>
        </w:rPr>
        <w:t xml:space="preserve">, the </w:t>
      </w:r>
      <w:r>
        <w:rPr>
          <w:i w:val="1"/>
          <w:iCs w:val="1"/>
          <w:rtl w:val="0"/>
          <w:lang w:val="en-US"/>
        </w:rPr>
        <w:t>LastFm</w:t>
      </w:r>
      <w:r>
        <w:rPr>
          <w:i w:val="1"/>
          <w:iCs w:val="1"/>
          <w:rtl w:val="0"/>
          <w:lang w:val="de-DE"/>
        </w:rPr>
        <w:t xml:space="preserve"> dataset and the MusixMatch dataset) </w:t>
      </w:r>
      <w:r>
        <w:rPr>
          <w:rtl w:val="0"/>
          <w:lang w:val="de-DE"/>
        </w:rPr>
        <w:t>using the same criteria as in the MusixMatch dataset. Therefore three levels of granularity are defined: tags, mood groups and mood quadrant. We take songs into our dataset if a song is tagged at least twice with one tag or at least tagged with two tags of the same group (there exists different mood groups). In this step we already delete duplicates.</w:t>
      </w:r>
      <w:r>
        <w:drawing>
          <wp:anchor distT="152400" distB="152400" distL="152400" distR="152400" simplePos="0" relativeHeight="251659264" behindDoc="0" locked="0" layoutInCell="1" allowOverlap="1">
            <wp:simplePos x="0" y="0"/>
            <wp:positionH relativeFrom="margin">
              <wp:posOffset>1416050</wp:posOffset>
            </wp:positionH>
            <wp:positionV relativeFrom="line">
              <wp:posOffset>203200</wp:posOffset>
            </wp:positionV>
            <wp:extent cx="2411730" cy="18071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5-11-08 um 22.59.00.png"/>
                    <pic:cNvPicPr>
                      <a:picLocks noChangeAspect="1"/>
                    </pic:cNvPicPr>
                  </pic:nvPicPr>
                  <pic:blipFill>
                    <a:blip r:embed="rId4">
                      <a:extLst/>
                    </a:blip>
                    <a:stretch>
                      <a:fillRect/>
                    </a:stretch>
                  </pic:blipFill>
                  <pic:spPr>
                    <a:xfrm>
                      <a:off x="0" y="0"/>
                      <a:ext cx="2411730" cy="1807155"/>
                    </a:xfrm>
                    <a:prstGeom prst="rect">
                      <a:avLst/>
                    </a:prstGeom>
                    <a:ln w="12700" cap="flat">
                      <a:noFill/>
                      <a:miter lim="400000"/>
                    </a:ln>
                    <a:effectLst/>
                  </pic:spPr>
                </pic:pic>
              </a:graphicData>
            </a:graphic>
          </wp:anchor>
        </w:drawing>
      </w:r>
      <w:r>
        <w:br w:type="textWrapping"/>
      </w:r>
      <w:r>
        <w:rPr>
          <w:rtl w:val="0"/>
          <w:lang w:val="de-DE"/>
        </w:rPr>
        <w:t>Moreover we only consider english lyric and erase all non-english lyric in this step.</w:t>
      </w:r>
      <w:r>
        <w:br w:type="textWrapping"/>
      </w:r>
    </w:p>
    <w:p>
      <w:pPr>
        <w:pStyle w:val="Text"/>
        <w:widowControl w:val="0"/>
        <w:numPr>
          <w:ilvl w:val="0"/>
          <w:numId w:val="2"/>
        </w:numPr>
        <w:spacing w:after="240"/>
        <w:rPr>
          <w:lang w:val="de-DE"/>
        </w:rPr>
      </w:pPr>
      <w:r>
        <w:rPr>
          <w:rtl w:val="0"/>
          <w:lang w:val="de-DE"/>
        </w:rPr>
        <w:t>Next we do some statistics by calculating the term distribution for each document and classes (mood quadrants) by using five different term weighting schemes: a binary term weighting, the term-frequency (tf), inverted document frequency (tf-idf), BM25, and delta tf-idf. Therefore we use the vector-space-model and match every document to a vector d=(t1</w:t>
      </w:r>
      <w:r>
        <w:rPr>
          <w:rtl w:val="0"/>
          <w:lang w:val="de-DE"/>
        </w:rPr>
        <w:t>…</w:t>
      </w:r>
      <w:r>
        <w:rPr>
          <w:rtl w:val="0"/>
          <w:lang w:val="de-DE"/>
        </w:rPr>
        <w:t>tn). Moreover we use stemmed terms. Annotation: we don</w:t>
      </w:r>
      <w:r>
        <w:rPr>
          <w:rtl w:val="0"/>
          <w:lang w:val="de-DE"/>
        </w:rPr>
        <w:t>’</w:t>
      </w:r>
      <w:r>
        <w:rPr>
          <w:rtl w:val="0"/>
          <w:lang w:val="de-DE"/>
        </w:rPr>
        <w:t>t analyze the distribution over tag groups and mood tags as it is not done in the paper.</w:t>
      </w:r>
    </w:p>
    <w:p>
      <w:pPr>
        <w:pStyle w:val="Text"/>
        <w:widowControl w:val="0"/>
        <w:numPr>
          <w:ilvl w:val="0"/>
          <w:numId w:val="2"/>
        </w:numPr>
        <w:spacing w:after="240"/>
        <w:rPr>
          <w:lang w:val="de-DE"/>
        </w:rPr>
      </w:pPr>
      <w:r>
        <w:rPr>
          <w:rtl w:val="0"/>
          <w:lang w:val="de-DE"/>
        </w:rPr>
        <w:t xml:space="preserve">Our goal is to get similar results concerning distribution to the analysis in the paper. Therefore, we compute the number of distinct terms, unique terms and number of unique terms per song and compute the standard deviation for them. </w:t>
      </w:r>
    </w:p>
    <w:p>
      <w:pPr>
        <w:pStyle w:val="Text"/>
        <w:widowControl w:val="0"/>
        <w:numPr>
          <w:ilvl w:val="0"/>
          <w:numId w:val="2"/>
        </w:numPr>
        <w:spacing w:after="240"/>
        <w:rPr>
          <w:lang w:val="de-DE"/>
        </w:rPr>
      </w:pPr>
      <w:r>
        <w:rPr>
          <w:rtl w:val="0"/>
          <w:lang w:val="de-DE"/>
        </w:rPr>
        <w:t>In the next part we do the mood classification by comparing the performance of the five different term weighting schemes (see above) for all the three granularities (see above). With the</w:t>
      </w:r>
      <w:r>
        <w:rPr>
          <w:rtl w:val="0"/>
        </w:rPr>
        <w:t xml:space="preserve"> </w:t>
      </w:r>
      <w:r>
        <w:rPr>
          <w:rtl w:val="0"/>
          <w:lang w:val="de-DE"/>
        </w:rPr>
        <w:t>Weka machine learning framework</w:t>
      </w:r>
      <w:r>
        <w:rPr>
          <w:vertAlign w:val="superscript"/>
        </w:rPr>
        <w:footnoteReference w:id="1"/>
      </w:r>
      <w:r>
        <w:rPr>
          <w:rtl w:val="0"/>
          <w:lang w:val="de-DE"/>
        </w:rPr>
        <w:t xml:space="preserve"> and the </w:t>
      </w:r>
      <w:r>
        <w:rPr>
          <w:rtl w:val="0"/>
          <w:lang w:val="en-US"/>
        </w:rPr>
        <w:t>LIBLinear L2-SVM classification algorithm</w:t>
      </w:r>
      <w:r>
        <w:rPr>
          <w:vertAlign w:val="superscript"/>
        </w:rPr>
        <w:footnoteReference w:id="2"/>
      </w:r>
      <w:r>
        <w:rPr>
          <w:rtl w:val="0"/>
          <w:lang w:val="de-DE"/>
        </w:rPr>
        <w:t xml:space="preserve"> (both libraries available in Java), as  </w:t>
      </w:r>
      <w:r>
        <w:rPr>
          <w:rtl w:val="0"/>
          <w:lang w:val="en-US"/>
        </w:rPr>
        <w:t>Corona and O</w:t>
      </w:r>
      <w:r>
        <w:rPr>
          <w:rtl w:val="0"/>
          <w:lang w:val="de-DE"/>
        </w:rPr>
        <w:t>’</w:t>
      </w:r>
      <w:r>
        <w:rPr>
          <w:rtl w:val="0"/>
        </w:rPr>
        <w:t>Mahony</w:t>
      </w:r>
      <w:r>
        <w:rPr>
          <w:rtl w:val="0"/>
          <w:lang w:val="de-DE"/>
        </w:rPr>
        <w:t xml:space="preserve"> did, we create 1000 positive and 1000 negative songs as training sets for each class (either mood group or tag or mood quadrant). With Weka and LibLinear we classify them.</w:t>
      </w:r>
    </w:p>
    <w:p>
      <w:pPr>
        <w:pStyle w:val="Text"/>
        <w:widowControl w:val="0"/>
        <w:numPr>
          <w:ilvl w:val="0"/>
          <w:numId w:val="2"/>
        </w:numPr>
        <w:spacing w:after="240"/>
        <w:rPr>
          <w:lang w:val="de-DE"/>
        </w:rPr>
      </w:pPr>
      <w:r>
        <w:rPr>
          <w:rtl w:val="0"/>
          <w:lang w:val="de-DE"/>
        </w:rPr>
        <w:t>By using accuracy metric:</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286682</wp:posOffset>
            </wp:positionV>
            <wp:extent cx="2410450" cy="51341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ildschirmfoto 2015-11-08 um 23.53.39.png"/>
                    <pic:cNvPicPr>
                      <a:picLocks noChangeAspect="1"/>
                    </pic:cNvPicPr>
                  </pic:nvPicPr>
                  <pic:blipFill>
                    <a:blip r:embed="rId5">
                      <a:extLst/>
                    </a:blip>
                    <a:stretch>
                      <a:fillRect/>
                    </a:stretch>
                  </pic:blipFill>
                  <pic:spPr>
                    <a:xfrm>
                      <a:off x="0" y="0"/>
                      <a:ext cx="2410450" cy="513418"/>
                    </a:xfrm>
                    <a:prstGeom prst="rect">
                      <a:avLst/>
                    </a:prstGeom>
                    <a:ln w="12700" cap="flat">
                      <a:noFill/>
                      <a:miter lim="400000"/>
                    </a:ln>
                    <a:effectLst/>
                  </pic:spPr>
                </pic:pic>
              </a:graphicData>
            </a:graphic>
          </wp:anchor>
        </w:drawing>
      </w:r>
      <w:r>
        <w:rPr>
          <w:rtl w:val="0"/>
          <w:lang w:val="de-DE"/>
        </w:rPr>
        <w:t xml:space="preserve"> </w:t>
      </w:r>
    </w:p>
    <w:p>
      <w:pPr>
        <w:pStyle w:val="Text"/>
        <w:widowControl w:val="0"/>
        <w:spacing w:after="240"/>
      </w:pPr>
      <w:r>
        <w:rPr>
          <w:rtl w:val="0"/>
          <w:lang w:val="de-DE"/>
        </w:rPr>
        <w:t>(TP: true positives, TN: true negatives, FP: false positives, FN, false negatives) we evaluate the classification performance</w:t>
      </w:r>
    </w:p>
    <w:p>
      <w:pPr>
        <w:pStyle w:val="Text"/>
        <w:widowControl w:val="0"/>
        <w:numPr>
          <w:ilvl w:val="0"/>
          <w:numId w:val="2"/>
        </w:numPr>
        <w:spacing w:after="240"/>
        <w:rPr>
          <w:lang w:val="de-DE"/>
        </w:rPr>
      </w:pPr>
      <w:r>
        <w:rPr>
          <w:rtl w:val="0"/>
          <w:lang w:val="de-DE"/>
        </w:rPr>
        <w:t xml:space="preserve">And by making a </w:t>
      </w:r>
      <w:r>
        <w:rPr>
          <w:rtl w:val="0"/>
        </w:rPr>
        <w:t>Kruskal-Wallis</w:t>
      </w:r>
      <w:r>
        <w:rPr>
          <w:vertAlign w:val="superscript"/>
        </w:rPr>
        <w:footnoteReference w:id="3"/>
      </w:r>
      <w:r>
        <w:rPr>
          <w:rtl w:val="0"/>
          <w:lang w:val="en-US"/>
        </w:rPr>
        <w:t xml:space="preserve"> test </w:t>
      </w:r>
      <w:r>
        <w:rPr>
          <w:rtl w:val="0"/>
          <w:lang w:val="de-DE"/>
        </w:rPr>
        <w:t xml:space="preserve">at the level 0.05 we evaluate whether there are significant statistical differences between the term evaluation scheme. </w:t>
      </w:r>
    </w:p>
    <w:p>
      <w:pPr>
        <w:pStyle w:val="Text"/>
        <w:widowControl w:val="0"/>
        <w:numPr>
          <w:ilvl w:val="0"/>
          <w:numId w:val="2"/>
        </w:numPr>
        <w:spacing w:after="240"/>
        <w:rPr>
          <w:lang w:val="de-DE"/>
        </w:rPr>
      </w:pPr>
      <w:r>
        <w:rPr>
          <w:rtl w:val="0"/>
          <w:lang w:val="de-DE"/>
        </w:rPr>
        <w:t xml:space="preserve">Finally we compare our results with the results of </w:t>
      </w:r>
      <w:r>
        <w:rPr>
          <w:rtl w:val="0"/>
          <w:lang w:val="en-US"/>
        </w:rPr>
        <w:t>Corona and O</w:t>
      </w:r>
      <w:r>
        <w:rPr>
          <w:rtl w:val="0"/>
          <w:lang w:val="de-DE"/>
        </w:rPr>
        <w:t>’</w:t>
      </w:r>
      <w:r>
        <w:rPr>
          <w:rtl w:val="0"/>
        </w:rPr>
        <w:t>Mahony</w:t>
      </w:r>
      <w:r>
        <w:rPr>
          <w:rtl w:val="0"/>
          <w:lang w:val="de-DE"/>
        </w:rPr>
        <w:t xml:space="preserve"> and will conclude whether their paper was replicable or not.</w:t>
      </w:r>
      <w:r>
        <w:rPr>
          <w:color w:val="000000"/>
          <w:sz w:val="18"/>
          <w:szCs w:val="18"/>
          <w:u w:color="000000"/>
        </w:rPr>
      </w:r>
    </w:p>
    <w:sectPr>
      <w:headerReference w:type="default" r:id="rId6"/>
      <w:footerReference w:type="default" r:id="rId7"/>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ußnote"/>
        <w:bidi w:val="0"/>
      </w:pPr>
      <w:r>
        <w:rPr>
          <w:vertAlign w:val="superscript"/>
        </w:rPr>
        <w:footnoteRef/>
      </w:r>
      <w:r>
        <w:rPr>
          <w:rFonts w:cs="Arial Unicode MS" w:eastAsia="Arial Unicode MS"/>
          <w:rtl w:val="0"/>
          <w:lang w:val="de-DE"/>
        </w:rPr>
        <w:t xml:space="preserve"> M. Hall, E. Frank, G. Holmes, B. Pfahringer, P. Reute- mann, and I. H. Witten, </w:t>
      </w:r>
      <w:r>
        <w:rPr>
          <w:rFonts w:cs="Arial Unicode MS" w:eastAsia="Arial Unicode MS" w:hint="default"/>
          <w:rtl w:val="0"/>
          <w:lang w:val="de-DE"/>
        </w:rPr>
        <w:t>“</w:t>
      </w:r>
      <w:r>
        <w:rPr>
          <w:rFonts w:cs="Arial Unicode MS" w:eastAsia="Arial Unicode MS"/>
          <w:rtl w:val="0"/>
          <w:lang w:val="en-US"/>
        </w:rPr>
        <w:t>The WEKA Data Mining Software: an Update,</w:t>
      </w:r>
      <w:r>
        <w:rPr>
          <w:rFonts w:cs="Arial Unicode MS" w:eastAsia="Arial Unicode MS" w:hint="default"/>
          <w:rtl w:val="0"/>
        </w:rPr>
        <w:t xml:space="preserve">” </w:t>
      </w:r>
      <w:r>
        <w:rPr>
          <w:rFonts w:cs="Arial Unicode MS" w:eastAsia="Arial Unicode MS"/>
          <w:i w:val="1"/>
          <w:iCs w:val="1"/>
          <w:rtl w:val="0"/>
          <w:lang w:val="en-US"/>
        </w:rPr>
        <w:t>ACM SIGKDD Explorations Newsletter</w:t>
      </w:r>
      <w:r>
        <w:rPr>
          <w:rFonts w:cs="Arial Unicode MS" w:eastAsia="Arial Unicode MS"/>
          <w:rtl w:val="0"/>
          <w:lang w:val="pt-PT"/>
        </w:rPr>
        <w:t>, vol. 11, no. 1, pp. 10</w:t>
      </w:r>
      <w:r>
        <w:rPr>
          <w:rFonts w:cs="Arial Unicode MS" w:eastAsia="Arial Unicode MS" w:hint="default"/>
          <w:rtl w:val="0"/>
        </w:rPr>
        <w:t>–</w:t>
      </w:r>
      <w:r>
        <w:rPr>
          <w:rFonts w:cs="Arial Unicode MS" w:eastAsia="Arial Unicode MS"/>
          <w:rtl w:val="0"/>
        </w:rPr>
        <w:t xml:space="preserve">18, 2009. </w:t>
      </w:r>
    </w:p>
  </w:footnote>
  <w:footnote w:id="2">
    <w:p>
      <w:pPr>
        <w:pStyle w:val="Fußnote"/>
        <w:bidi w:val="0"/>
      </w:pPr>
      <w:r>
        <w:rPr>
          <w:vertAlign w:val="superscript"/>
        </w:rPr>
        <w:footnoteRef/>
      </w:r>
      <w:r>
        <w:rPr>
          <w:rFonts w:cs="Arial Unicode MS" w:eastAsia="Arial Unicode MS"/>
          <w:rtl w:val="0"/>
          <w:lang w:val="de-DE"/>
        </w:rPr>
        <w:t xml:space="preserve"> R. Fan, K. Chang, and C. Hsieh, </w:t>
      </w:r>
      <w:r>
        <w:rPr>
          <w:rFonts w:cs="Arial Unicode MS" w:eastAsia="Arial Unicode MS" w:hint="default"/>
          <w:rtl w:val="0"/>
          <w:lang w:val="de-DE"/>
        </w:rPr>
        <w:t>“</w:t>
      </w:r>
      <w:r>
        <w:rPr>
          <w:rFonts w:cs="Arial Unicode MS" w:eastAsia="Arial Unicode MS"/>
          <w:rtl w:val="0"/>
          <w:lang w:val="en-US"/>
        </w:rPr>
        <w:t>LIBLINEAR: A Li- brary for Large Linear Classification,</w:t>
      </w:r>
      <w:r>
        <w:rPr>
          <w:rFonts w:cs="Arial Unicode MS" w:eastAsia="Arial Unicode MS" w:hint="default"/>
          <w:rtl w:val="0"/>
        </w:rPr>
        <w:t xml:space="preserve">” </w:t>
      </w:r>
      <w:r>
        <w:rPr>
          <w:rFonts w:cs="Arial Unicode MS" w:eastAsia="Arial Unicode MS"/>
          <w:i w:val="1"/>
          <w:iCs w:val="1"/>
          <w:rtl w:val="0"/>
          <w:lang w:val="en-US"/>
        </w:rPr>
        <w:t>The Journal of Machine Learning</w:t>
      </w:r>
      <w:r>
        <w:rPr>
          <w:rFonts w:cs="Arial Unicode MS" w:eastAsia="Arial Unicode MS"/>
          <w:rtl w:val="0"/>
        </w:rPr>
        <w:t>, vol. 9, pp. 1871</w:t>
      </w:r>
      <w:r>
        <w:rPr>
          <w:rFonts w:cs="Arial Unicode MS" w:eastAsia="Arial Unicode MS" w:hint="default"/>
          <w:rtl w:val="0"/>
        </w:rPr>
        <w:t>–</w:t>
      </w:r>
      <w:r>
        <w:rPr>
          <w:rFonts w:cs="Arial Unicode MS" w:eastAsia="Arial Unicode MS"/>
          <w:rtl w:val="0"/>
        </w:rPr>
        <w:t xml:space="preserve">1874, 2008 </w:t>
      </w:r>
    </w:p>
  </w:footnote>
  <w:footnote w:id="3">
    <w:p>
      <w:pPr>
        <w:pStyle w:val="Fußnote"/>
        <w:bidi w:val="0"/>
      </w:pPr>
      <w:r>
        <w:rPr>
          <w:vertAlign w:val="superscript"/>
        </w:rPr>
        <w:footnoteRef/>
      </w:r>
      <w:r>
        <w:rPr>
          <w:rFonts w:cs="Arial Unicode MS" w:eastAsia="Arial Unicode MS"/>
          <w:rtl w:val="0"/>
        </w:rPr>
        <w:t xml:space="preserve"> E. Theodorsson-Norheim, </w:t>
      </w:r>
      <w:r>
        <w:rPr>
          <w:rFonts w:cs="Arial Unicode MS" w:eastAsia="Arial Unicode MS" w:hint="default"/>
          <w:rtl w:val="0"/>
          <w:lang w:val="de-DE"/>
        </w:rPr>
        <w:t>“</w:t>
      </w:r>
      <w:r>
        <w:rPr>
          <w:rFonts w:cs="Arial Unicode MS" w:eastAsia="Arial Unicode MS"/>
          <w:rtl w:val="0"/>
          <w:lang w:val="en-US"/>
        </w:rPr>
        <w:t>Kruskal-Wallis test: BA- SIC computer program to perform nonparametric one- way analysis of variance and multiple comparisons on ranks of several independent samples.</w:t>
      </w:r>
      <w:r>
        <w:rPr>
          <w:rFonts w:cs="Arial Unicode MS" w:eastAsia="Arial Unicode MS" w:hint="default"/>
          <w:rtl w:val="0"/>
        </w:rPr>
        <w:t xml:space="preserve">” </w:t>
      </w:r>
      <w:r>
        <w:rPr>
          <w:rFonts w:cs="Arial Unicode MS" w:eastAsia="Arial Unicode MS"/>
          <w:rtl w:val="0"/>
          <w:lang w:val="en-US"/>
        </w:rPr>
        <w:t>Computer Methods and Programs in Biomedicine, vol. 23, no. 1, pp. 57</w:t>
      </w:r>
      <w:r>
        <w:rPr>
          <w:rFonts w:cs="Arial Unicode MS" w:eastAsia="Arial Unicode MS" w:hint="default"/>
          <w:rtl w:val="0"/>
        </w:rPr>
        <w:t>–</w:t>
      </w:r>
      <w:r>
        <w:rPr>
          <w:rFonts w:cs="Arial Unicode MS" w:eastAsia="Arial Unicode MS"/>
          <w:rtl w:val="0"/>
        </w:rPr>
        <w:t xml:space="preserve">62, 1986.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e"/>
  </w:abstractNum>
  <w:abstractNum w:abstractNumId="1">
    <w:multiLevelType w:val="hybridMultilevel"/>
    <w:styleLink w:val="Punkte"/>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Hyperlink.0">
    <w:name w:val="Hyperlink.0"/>
    <w:basedOn w:val="Hyperlink"/>
    <w:next w:val="Hyperlink.0"/>
    <w:rPr>
      <w:color w:val="0000ff"/>
      <w:u w:val="single" w:color="0000ff"/>
    </w:rPr>
  </w:style>
  <w:style w:type="paragraph" w:styleId="Überschrift 3">
    <w:name w:val="Überschrift 3"/>
    <w:next w:val="Überschrift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w:cs="Arial Unicode MS" w:hAnsi="Times"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n-US"/>
    </w:rPr>
  </w:style>
  <w:style w:type="numbering" w:styleId="Punkte">
    <w:name w:val="Punkte"/>
    <w:pPr>
      <w:numPr>
        <w:numId w:val="1"/>
      </w:numPr>
    </w:p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