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14:paraId="40FAFC04" w14:textId="07BD66B7" w:rsidR="006D2F73" w:rsidRDefault="00545512">
      <w:pPr>
        <w:spacing w:before="120" w:after="120"/>
      </w:pPr>
      <w:r w:rsidRPr="00545512">
        <w:t>[NOI_DUNG_</w:t>
      </w:r>
      <w:r w:rsidR="005545D3">
        <w:t>PHU_LUC</w:t>
      </w:r>
      <w:r w:rsidRPr="00545512">
        <w:t>]</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p>
      <w:pPr>
        <w:jc w:val="center"/>
      </w:pPr>
      <w:r>
        <w:rPr>
          <w:noProof/>
        </w:rPr>
        <w:drawing>
          <wp:inline distT="0" distB="0" distL="0" distR="0">
            <wp:extent cx="1524000" cy="1524000"/>
            <wp:effectExtent l="0" t="0" r="0" b="0"/>
            <wp:docPr id="999" name="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r:embed="rId999"/>
                    <a:stretch>
                      <a:fillRect/>
                    </a:stretch>
                  </pic:blipFill>
                  <pic:spPr>
                    <a:xfrm>
                      <a:off x="0" y="0"/>
                      <a:ext cx="1524000" cy="1524000"/>
                    </a:xfrm>
                    <a:prstGeom prst="rect">
                      <a:avLst/>
                    </a:prstGeom>
                  </pic:spPr>
                </pic:pic>
              </a:graphicData>
            </a:graphic>
          </wp:inline>
        </w:drawing>
      </w:r>
    </w:p>
    <w:p>
      <w:pPr>
        <w:jc w:val="center"/>
      </w:pPr>
      <w:r>
        <w:t xml:space="preserve">Quét mã để truy cập bản điện tử</w:t>
      </w:r>
    </w:p>
    <w:p>
      <w:pPr>
        <w:jc w:val="both"/>
        <w:ind w:firstLine="720"/>
        <w:spacing w:line="360" w:lineRule="auto" w:after="120"/>
      </w:pPr>
      <w:r>
        <w:rPr/>
        <w:t xml:space="preserve">Để minh chứng cho hiệu quả của giải pháp "Ứng dụng công nghệ số trong mô hình hóa 3D nhằm nâng cao năng lực tưởng tượng không gian cho học sinh lớp 12 qua chủ đề phương pháp tọa độ trong không gian", tôi đã tiến hành khảo sát và đánh giá kết quả học tập của học sinh lớp thực nghiệm (12A2) và lớp đối chứng (12A1) tại Trường THPT PPPPTTTT trong năm học 2025-2026. Kết quả được tổng hợp và trình bày chi tiết qua các bảng thống kê dưới đây:</w:t>
      </w:r>
    </w:p>
    <w:p>
      <w:pPr>
        <w:jc w:val="both"/>
        <w:ind w:firstLine="720"/>
        <w:spacing w:line="360" w:lineRule="auto" w:after="120"/>
      </w:pPr>
      <w:r>
        <w:rPr>
          <w:b/>
        </w:rPr>
        <w:t xml:space="preserve">Bảng 1</w:t>
      </w:r>
      <w:r>
        <w:rPr>
          <w:b/>
        </w:rPr>
        <w:t xml:space="preserve">: Thống kê mô tả kết quả bài kiểm tra đánh giá năng lực tưởng tượng không gian và vận dụng kiến thức phương pháp tọa độ trong không gian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37"/>
        <w:gridCol w:w="1337"/>
        <w:gridCol w:w="1337"/>
        <w:gridCol w:w="1337"/>
        <w:gridCol w:w="1337"/>
        <w:gridCol w:w="1337"/>
        <w:gridCol w:w="1337"/>
      </w:tblGrid>
      <w:tr>
        <w:tc>
          <w:tcPr>
            <w:tcW w:w="1337" w:type="dxa"/>
            <w:shd w:val="clear" w:color="auto" w:fill="D5E8F0"/>
          </w:tcPr>
          <w:p>
            <w:pPr>
              <w:jc w:val="center"/>
            </w:pPr>
            <w:r>
              <w:rPr/>
              <w:t xml:space="preserve">Chỉ số</w:t>
            </w:r>
          </w:p>
        </w:tc>
        <w:tc>
          <w:tcPr>
            <w:tcW w:w="1337" w:type="dxa"/>
            <w:shd w:val="clear" w:color="auto" w:fill="D5E8F0"/>
          </w:tcPr>
          <w:p>
            <w:pPr>
              <w:jc w:val="center"/>
            </w:pPr>
            <w:r>
              <w:rPr/>
              <w:t xml:space="preserve">Lớp</w:t>
            </w:r>
          </w:p>
        </w:tc>
        <w:tc>
          <w:tcPr>
            <w:tcW w:w="1337" w:type="dxa"/>
            <w:shd w:val="clear" w:color="auto" w:fill="D5E8F0"/>
          </w:tcPr>
          <w:p>
            <w:pPr>
              <w:jc w:val="center"/>
            </w:pPr>
            <w:r>
              <w:rPr/>
              <w:t xml:space="preserve">Số lượng HS</w:t>
            </w:r>
          </w:p>
        </w:tc>
        <w:tc>
          <w:tcPr>
            <w:tcW w:w="1337" w:type="dxa"/>
            <w:shd w:val="clear" w:color="auto" w:fill="D5E8F0"/>
          </w:tcPr>
          <w:p>
            <w:pPr>
              <w:jc w:val="center"/>
            </w:pPr>
            <w:r>
              <w:rPr/>
              <w:t xml:space="preserve">Điểm trung bình (ĐTB) trước tác động</w:t>
            </w:r>
          </w:p>
        </w:tc>
        <w:tc>
          <w:tcPr>
            <w:tcW w:w="1337" w:type="dxa"/>
            <w:shd w:val="clear" w:color="auto" w:fill="D5E8F0"/>
          </w:tcPr>
          <w:p>
            <w:pPr>
              <w:jc w:val="center"/>
            </w:pPr>
            <w:r>
              <w:rPr/>
              <w:t xml:space="preserve">Độ lệch chuẩn (ĐLC) trước tác động</w:t>
            </w:r>
          </w:p>
        </w:tc>
        <w:tc>
          <w:tcPr>
            <w:tcW w:w="1337" w:type="dxa"/>
            <w:shd w:val="clear" w:color="auto" w:fill="D5E8F0"/>
          </w:tcPr>
          <w:p>
            <w:pPr>
              <w:jc w:val="center"/>
            </w:pPr>
            <w:r>
              <w:rPr/>
              <w:t xml:space="preserve">Điểm trung bình (ĐTB) sau tác động</w:t>
            </w:r>
          </w:p>
        </w:tc>
        <w:tc>
          <w:tcPr>
            <w:tcW w:w="1337" w:type="dxa"/>
            <w:shd w:val="clear" w:color="auto" w:fill="D5E8F0"/>
          </w:tcPr>
          <w:p>
            <w:pPr>
              <w:jc w:val="center"/>
            </w:pPr>
            <w:r>
              <w:rPr/>
              <w:t xml:space="preserve">Độ lệch chuẩn (ĐLC) sau tác động</w:t>
            </w:r>
          </w:p>
        </w:tc>
      </w:tr>
      <w:tr>
        <w:tc>
          <w:tcPr>
            <w:tcW w:w="1337" w:type="dxa"/>
          </w:tcPr>
          <w:p>
            <w:pPr>
              <w:jc w:val="center"/>
            </w:pPr>
            <w:r>
              <w:rPr>
                <w:b/>
              </w:rPr>
              <w:t xml:space="preserve">Điểm kiểm tra (Thang 10)</w:t>
            </w:r>
          </w:p>
        </w:tc>
        <w:tc>
          <w:tcPr>
            <w:tcW w:w="1337" w:type="dxa"/>
          </w:tcPr>
          <w:p>
            <w:pPr>
              <w:jc w:val="center"/>
            </w:pPr>
            <w:r>
              <w:rPr>
                <w:b/>
              </w:rPr>
              <w:t xml:space="preserve">Đối chứng (12A1)</w:t>
            </w:r>
          </w:p>
        </w:tc>
        <w:tc>
          <w:tcPr>
            <w:tcW w:w="1337" w:type="dxa"/>
          </w:tcPr>
          <w:p>
            <w:pPr>
              <w:jc w:val="center"/>
            </w:pPr>
            <w:r>
              <w:rPr/>
              <w:t xml:space="preserve">40</w:t>
            </w:r>
          </w:p>
        </w:tc>
        <w:tc>
          <w:tcPr>
            <w:tcW w:w="1337" w:type="dxa"/>
          </w:tcPr>
          <w:p>
            <w:pPr>
              <w:jc w:val="center"/>
            </w:pPr>
            <w:r>
              <w:rPr/>
              <w:t xml:space="preserve">5.35</w:t>
            </w:r>
          </w:p>
        </w:tc>
        <w:tc>
          <w:tcPr>
            <w:tcW w:w="1337" w:type="dxa"/>
          </w:tcPr>
          <w:p>
            <w:pPr>
              <w:jc w:val="center"/>
            </w:pPr>
            <w:r>
              <w:rPr/>
              <w:t xml:space="preserve">1.48</w:t>
            </w:r>
          </w:p>
        </w:tc>
        <w:tc>
          <w:tcPr>
            <w:tcW w:w="1337" w:type="dxa"/>
          </w:tcPr>
          <w:p>
            <w:pPr>
              <w:jc w:val="center"/>
            </w:pPr>
            <w:r>
              <w:rPr/>
              <w:t xml:space="preserve">5.95</w:t>
            </w:r>
          </w:p>
        </w:tc>
        <w:tc>
          <w:tcPr>
            <w:tcW w:w="1337" w:type="dxa"/>
          </w:tcPr>
          <w:p>
            <w:pPr>
              <w:jc w:val="center"/>
            </w:pPr>
            <w:r>
              <w:rPr/>
              <w:t xml:space="preserve">1.35</w:t>
            </w:r>
          </w:p>
        </w:tc>
      </w:tr>
      <w:tr>
        <w:tc>
          <w:tcPr>
            <w:tcW w:w="1337" w:type="dxa"/>
          </w:tcPr>
          <w:p>
            <w:pPr>
              <w:jc w:val="center"/>
            </w:pPr>
            <w:r>
              <w:rPr>
                <w:b/>
              </w:rPr>
              <w:t xml:space="preserve">Thực nghiệm (12A2)</w:t>
            </w:r>
          </w:p>
        </w:tc>
        <w:tc>
          <w:tcPr>
            <w:tcW w:w="1337" w:type="dxa"/>
          </w:tcPr>
          <w:p>
            <w:pPr>
              <w:jc w:val="center"/>
            </w:pPr>
            <w:r>
              <w:rPr/>
              <w:t xml:space="preserve">40</w:t>
            </w:r>
          </w:p>
        </w:tc>
        <w:tc>
          <w:tcPr>
            <w:tcW w:w="1337" w:type="dxa"/>
          </w:tcPr>
          <w:p>
            <w:pPr>
              <w:jc w:val="center"/>
            </w:pPr>
            <w:r>
              <w:rPr/>
              <w:t xml:space="preserve">5.42</w:t>
            </w:r>
          </w:p>
        </w:tc>
        <w:tc>
          <w:tcPr>
            <w:tcW w:w="1337" w:type="dxa"/>
          </w:tcPr>
          <w:p>
            <w:pPr>
              <w:jc w:val="center"/>
            </w:pPr>
            <w:r>
              <w:rPr/>
              <w:t xml:space="preserve">1.45</w:t>
            </w:r>
          </w:p>
        </w:tc>
        <w:tc>
          <w:tcPr>
            <w:tcW w:w="1337" w:type="dxa"/>
          </w:tcPr>
          <w:p>
            <w:pPr>
              <w:jc w:val="center"/>
            </w:pPr>
            <w:r>
              <w:rPr/>
              <w:t xml:space="preserve">7.40</w:t>
            </w:r>
          </w:p>
        </w:tc>
        <w:tc>
          <w:tcPr>
            <w:tcW w:w="1337" w:type="dxa"/>
          </w:tcPr>
          <w:p>
            <w:pPr>
              <w:jc w:val="center"/>
            </w:pPr>
            <w:r>
              <w:rPr/>
              <w:t xml:space="preserve">1.10</w:t>
            </w:r>
          </w:p>
        </w:tc>
        <w:tc>
          <w:tcPr>
            <w:tcW w:w="1337" w:type="dxa"/>
          </w:tcPr>
          <w:p>
            <w:pPr>
              <w:jc w:val="center"/>
            </w:pPr>
          </w:p>
        </w:tc>
      </w:tr>
    </w:tbl>
    <w:p>
      <w:pPr>
        <w:spacing w:after="120"/>
      </w:pPr>
    </w:p>
    <w:p>
      <w:pPr>
        <w:jc w:val="both"/>
        <w:tabs>
          <w:tab w:val="left" w:pos="720"/>
        </w:tabs>
        <w:ind w:left="720" w:hanging="360"/>
        <w:spacing w:after="60"/>
      </w:pPr>
      <w:r>
        <w:t xml:space="preserve">• </w:t>
        <w:tab/>
      </w:r>
      <w:r>
        <w:rPr>
          <w:b/>
        </w:rPr>
        <w:t xml:space="preserve">Nhận xét:</w:t>
      </w:r>
    </w:p>
    <w:p>
      <w:pPr>
        <w:jc w:val="both"/>
        <w:tabs>
          <w:tab w:val="left" w:pos="720"/>
        </w:tabs>
        <w:ind w:left="720" w:hanging="360"/>
        <w:spacing w:after="60"/>
      </w:pPr>
      <w:r>
        <w:t xml:space="preserve">• </w:t>
        <w:tab/>
      </w:r>
      <w:r>
        <w:rPr/>
        <w:t xml:space="preserve">Trước khi áp dụng giải pháp, điểm trung bình và độ lệch chuẩn của hai lớp Đối chứng và Thực nghiệm tương đương nhau, cho thấy năng lực tưởng tượng không gian và kiến thức nền tảng của học sinh hai lớp là tương đồng. Điều này đảm bảo tính khách quan trong việc so sánh hiệu quả của giải pháp.</w:t>
      </w:r>
    </w:p>
    <w:p>
      <w:pPr>
        <w:jc w:val="both"/>
        <w:tabs>
          <w:tab w:val="left" w:pos="720"/>
        </w:tabs>
        <w:ind w:left="720" w:hanging="360"/>
        <w:spacing w:after="60"/>
      </w:pPr>
      <w:r>
        <w:t xml:space="preserve">• </w:t>
        <w:tab/>
      </w:r>
      <w:r>
        <w:rPr/>
        <w:t xml:space="preserve">Sau khi áp dụng giải pháp, lớp Thực nghiệm (12A2) có sự cải thiện vượt bậc về điểm trung bình (từ 5.42 lên 7.40), cao hơn đáng kể so với lớp Đối chứng (từ 5.35 lên 5.95).</w:t>
      </w:r>
    </w:p>
    <w:p>
      <w:pPr>
        <w:jc w:val="both"/>
        <w:tabs>
          <w:tab w:val="left" w:pos="720"/>
        </w:tabs>
        <w:ind w:left="720" w:hanging="360"/>
        <w:spacing w:after="60"/>
      </w:pPr>
      <w:r>
        <w:t xml:space="preserve">• </w:t>
        <w:tab/>
      </w:r>
      <w:r>
        <w:rPr/>
        <w:t xml:space="preserve">Độ lệch chuẩn của lớp Thực nghiệm giảm rõ rệt (từ 1.45 xuống 1.10), cho thấy kết quả học tập của học sinh trong lớp đồng đều hơn, khoảng cách giữa học sinh khá giỏi và học sinh trung bình yếu được thu hẹp. Ngược lại, lớp Đối chứng có độ lệch chuẩn giảm ít hơn.</w:t>
      </w:r>
    </w:p>
    <w:p>
      <w:pPr>
        <w:jc w:val="both"/>
        <w:ind w:firstLine="720"/>
        <w:spacing w:line="360" w:lineRule="auto" w:after="120"/>
      </w:pPr>
      <w:r>
        <w:rPr>
          <w:b/>
        </w:rPr>
        <w:t xml:space="preserve">Bảng 2</w:t>
      </w:r>
      <w:r>
        <w:rPr>
          <w:b/>
        </w:rPr>
        <w:t xml:space="preserve">: Phân loại học lực của học sinh theo kết quả bài kiểm tra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60"/>
        <w:gridCol w:w="1560"/>
        <w:gridCol w:w="1560"/>
        <w:gridCol w:w="1560"/>
        <w:gridCol w:w="1560"/>
        <w:gridCol w:w="1560"/>
      </w:tblGrid>
      <w:tr>
        <w:tc>
          <w:tcPr>
            <w:tcW w:w="1560" w:type="dxa"/>
            <w:shd w:val="clear" w:color="auto" w:fill="D5E8F0"/>
          </w:tcPr>
          <w:p>
            <w:pPr>
              <w:jc w:val="center"/>
            </w:pPr>
            <w:r>
              <w:rPr/>
              <w:t xml:space="preserve">Xếp loại học lực</w:t>
            </w:r>
          </w:p>
        </w:tc>
        <w:tc>
          <w:tcPr>
            <w:tcW w:w="1560" w:type="dxa"/>
            <w:shd w:val="clear" w:color="auto" w:fill="D5E8F0"/>
          </w:tcPr>
          <w:p>
            <w:pPr>
              <w:jc w:val="center"/>
            </w:pPr>
            <w:r>
              <w:rPr/>
              <w:t xml:space="preserve">Lớp</w:t>
            </w:r>
          </w:p>
        </w:tc>
        <w:tc>
          <w:tcPr>
            <w:tcW w:w="1560" w:type="dxa"/>
            <w:shd w:val="clear" w:color="auto" w:fill="D5E8F0"/>
          </w:tcPr>
          <w:p>
            <w:pPr>
              <w:jc w:val="center"/>
            </w:pPr>
            <w:r>
              <w:rPr/>
              <w:t xml:space="preserve">Số lượng HS trước tác động</w:t>
            </w:r>
          </w:p>
        </w:tc>
        <w:tc>
          <w:tcPr>
            <w:tcW w:w="1560" w:type="dxa"/>
            <w:shd w:val="clear" w:color="auto" w:fill="D5E8F0"/>
          </w:tcPr>
          <w:p>
            <w:pPr>
              <w:jc w:val="center"/>
            </w:pPr>
            <w:r>
              <w:rPr/>
              <w:t xml:space="preserve">Tỷ lệ (%) trước tác động</w:t>
            </w:r>
          </w:p>
        </w:tc>
        <w:tc>
          <w:tcPr>
            <w:tcW w:w="1560" w:type="dxa"/>
            <w:shd w:val="clear" w:color="auto" w:fill="D5E8F0"/>
          </w:tcPr>
          <w:p>
            <w:pPr>
              <w:jc w:val="center"/>
            </w:pPr>
            <w:r>
              <w:rPr/>
              <w:t xml:space="preserve">Số lượng HS sau tác động</w:t>
            </w:r>
          </w:p>
        </w:tc>
        <w:tc>
          <w:tcPr>
            <w:tcW w:w="1560" w:type="dxa"/>
            <w:shd w:val="clear" w:color="auto" w:fill="D5E8F0"/>
          </w:tcPr>
          <w:p>
            <w:pPr>
              <w:jc w:val="center"/>
            </w:pPr>
            <w:r>
              <w:rPr/>
              <w:t xml:space="preserve">Tỷ lệ (%) sau tác động</w:t>
            </w:r>
          </w:p>
        </w:tc>
      </w:tr>
      <w:tr>
        <w:tc>
          <w:tcPr>
            <w:tcW w:w="1560" w:type="dxa"/>
          </w:tcPr>
          <w:p>
            <w:pPr>
              <w:jc w:val="center"/>
            </w:pPr>
            <w:r>
              <w:rPr>
                <w:b/>
              </w:rPr>
              <w:t xml:space="preserve">Giỏi</w:t>
            </w:r>
            <w:r>
              <w:rPr/>
              <w:t xml:space="preserve"> (Từ 8.0 trở lên)</w:t>
            </w:r>
          </w:p>
        </w:tc>
        <w:tc>
          <w:tcPr>
            <w:tcW w:w="1560" w:type="dxa"/>
          </w:tcPr>
          <w:p>
            <w:pPr>
              <w:jc w:val="center"/>
            </w:pPr>
            <w:r>
              <w:rPr>
                <w:b/>
              </w:rPr>
              <w:t xml:space="preserve">Đối chứng (12A1)</w:t>
            </w:r>
          </w:p>
        </w:tc>
        <w:tc>
          <w:tcPr>
            <w:tcW w:w="1560" w:type="dxa"/>
          </w:tcPr>
          <w:p>
            <w:pPr>
              <w:jc w:val="center"/>
            </w:pPr>
            <w:r>
              <w:rPr/>
              <w:t xml:space="preserve">0</w:t>
            </w:r>
          </w:p>
        </w:tc>
        <w:tc>
          <w:tcPr>
            <w:tcW w:w="1560" w:type="dxa"/>
          </w:tcPr>
          <w:p>
            <w:pPr>
              <w:jc w:val="center"/>
            </w:pPr>
            <w:r>
              <w:rPr/>
              <w:t xml:space="preserve">0.0%</w:t>
            </w:r>
          </w:p>
        </w:tc>
        <w:tc>
          <w:tcPr>
            <w:tcW w:w="1560" w:type="dxa"/>
          </w:tcPr>
          <w:p>
            <w:pPr>
              <w:jc w:val="center"/>
            </w:pPr>
            <w:r>
              <w:rPr/>
              <w:t xml:space="preserve">3</w:t>
            </w:r>
          </w:p>
        </w:tc>
        <w:tc>
          <w:tcPr>
            <w:tcW w:w="1560" w:type="dxa"/>
          </w:tcPr>
          <w:p>
            <w:pPr>
              <w:jc w:val="center"/>
            </w:pPr>
            <w:r>
              <w:rPr/>
              <w:t xml:space="preserve">7.5%</w:t>
            </w:r>
          </w:p>
        </w:tc>
      </w:tr>
      <w:tr>
        <w:tc>
          <w:tcPr>
            <w:tcW w:w="1560" w:type="dxa"/>
          </w:tcPr>
          <w:p>
            <w:pPr>
              <w:jc w:val="center"/>
            </w:pPr>
            <w:r>
              <w:rPr>
                <w:b/>
              </w:rPr>
              <w:t xml:space="preserve">Thực nghiệm (12A2)</w:t>
            </w:r>
          </w:p>
        </w:tc>
        <w:tc>
          <w:tcPr>
            <w:tcW w:w="1560" w:type="dxa"/>
          </w:tcPr>
          <w:p>
            <w:pPr>
              <w:jc w:val="center"/>
            </w:pPr>
            <w:r>
              <w:rPr/>
              <w:t xml:space="preserve">0</w:t>
            </w:r>
          </w:p>
        </w:tc>
        <w:tc>
          <w:tcPr>
            <w:tcW w:w="1560" w:type="dxa"/>
          </w:tcPr>
          <w:p>
            <w:pPr>
              <w:jc w:val="center"/>
            </w:pPr>
            <w:r>
              <w:rPr/>
              <w:t xml:space="preserve">0.0%</w:t>
            </w:r>
          </w:p>
        </w:tc>
        <w:tc>
          <w:tcPr>
            <w:tcW w:w="1560" w:type="dxa"/>
          </w:tcPr>
          <w:p>
            <w:pPr>
              <w:jc w:val="center"/>
            </w:pPr>
            <w:r>
              <w:rPr/>
              <w:t xml:space="preserve">12</w:t>
            </w:r>
          </w:p>
        </w:tc>
        <w:tc>
          <w:tcPr>
            <w:tcW w:w="1560" w:type="dxa"/>
          </w:tcPr>
          <w:p>
            <w:pPr>
              <w:jc w:val="center"/>
            </w:pPr>
            <w:r>
              <w:rPr/>
              <w:t xml:space="preserve">30.0%</w:t>
            </w:r>
          </w:p>
        </w:tc>
        <w:tc>
          <w:tcPr>
            <w:tcW w:w="1560" w:type="dxa"/>
          </w:tcPr>
          <w:p>
            <w:pPr>
              <w:jc w:val="center"/>
            </w:pPr>
          </w:p>
        </w:tc>
      </w:tr>
      <w:tr>
        <w:tc>
          <w:tcPr>
            <w:tcW w:w="1560" w:type="dxa"/>
          </w:tcPr>
          <w:p>
            <w:pPr>
              <w:jc w:val="center"/>
            </w:pPr>
            <w:r>
              <w:rPr>
                <w:b/>
              </w:rPr>
              <w:t xml:space="preserve">Khá</w:t>
            </w:r>
            <w:r>
              <w:rPr/>
              <w:t xml:space="preserve"> (Từ 6.5 đến dưới 8.0)</w:t>
            </w:r>
          </w:p>
        </w:tc>
        <w:tc>
          <w:tcPr>
            <w:tcW w:w="1560" w:type="dxa"/>
          </w:tcPr>
          <w:p>
            <w:pPr>
              <w:jc w:val="center"/>
            </w:pPr>
            <w:r>
              <w:rPr>
                <w:b/>
              </w:rPr>
              <w:t xml:space="preserve">Đối chứng (12A1)</w:t>
            </w:r>
          </w:p>
        </w:tc>
        <w:tc>
          <w:tcPr>
            <w:tcW w:w="1560" w:type="dxa"/>
          </w:tcPr>
          <w:p>
            <w:pPr>
              <w:jc w:val="center"/>
            </w:pPr>
            <w:r>
              <w:rPr/>
              <w:t xml:space="preserve">6</w:t>
            </w:r>
          </w:p>
        </w:tc>
        <w:tc>
          <w:tcPr>
            <w:tcW w:w="1560" w:type="dxa"/>
          </w:tcPr>
          <w:p>
            <w:pPr>
              <w:jc w:val="center"/>
            </w:pPr>
            <w:r>
              <w:rPr/>
              <w:t xml:space="preserve">15.0%</w:t>
            </w:r>
          </w:p>
        </w:tc>
        <w:tc>
          <w:tcPr>
            <w:tcW w:w="1560" w:type="dxa"/>
          </w:tcPr>
          <w:p>
            <w:pPr>
              <w:jc w:val="center"/>
            </w:pPr>
            <w:r>
              <w:rPr/>
              <w:t xml:space="preserve">10</w:t>
            </w:r>
          </w:p>
        </w:tc>
        <w:tc>
          <w:tcPr>
            <w:tcW w:w="1560" w:type="dxa"/>
          </w:tcPr>
          <w:p>
            <w:pPr>
              <w:jc w:val="center"/>
            </w:pPr>
            <w:r>
              <w:rPr/>
              <w:t xml:space="preserve">25.0%</w:t>
            </w:r>
          </w:p>
        </w:tc>
      </w:tr>
      <w:tr>
        <w:tc>
          <w:tcPr>
            <w:tcW w:w="1560" w:type="dxa"/>
          </w:tcPr>
          <w:p>
            <w:pPr>
              <w:jc w:val="center"/>
            </w:pPr>
            <w:r>
              <w:rPr>
                <w:b/>
              </w:rPr>
              <w:t xml:space="preserve">Thực nghiệm (12A2)</w:t>
            </w:r>
          </w:p>
        </w:tc>
        <w:tc>
          <w:tcPr>
            <w:tcW w:w="1560" w:type="dxa"/>
          </w:tcPr>
          <w:p>
            <w:pPr>
              <w:jc w:val="center"/>
            </w:pPr>
            <w:r>
              <w:rPr/>
              <w:t xml:space="preserve">7</w:t>
            </w:r>
          </w:p>
        </w:tc>
        <w:tc>
          <w:tcPr>
            <w:tcW w:w="1560" w:type="dxa"/>
          </w:tcPr>
          <w:p>
            <w:pPr>
              <w:jc w:val="center"/>
            </w:pPr>
            <w:r>
              <w:rPr/>
              <w:t xml:space="preserve">17.5%</w:t>
            </w:r>
          </w:p>
        </w:tc>
        <w:tc>
          <w:tcPr>
            <w:tcW w:w="1560" w:type="dxa"/>
          </w:tcPr>
          <w:p>
            <w:pPr>
              <w:jc w:val="center"/>
            </w:pPr>
            <w:r>
              <w:rPr/>
              <w:t xml:space="preserve">20</w:t>
            </w:r>
          </w:p>
        </w:tc>
        <w:tc>
          <w:tcPr>
            <w:tcW w:w="1560" w:type="dxa"/>
          </w:tcPr>
          <w:p>
            <w:pPr>
              <w:jc w:val="center"/>
            </w:pPr>
            <w:r>
              <w:rPr/>
              <w:t xml:space="preserve">50.0%</w:t>
            </w:r>
          </w:p>
        </w:tc>
        <w:tc>
          <w:tcPr>
            <w:tcW w:w="1560" w:type="dxa"/>
          </w:tcPr>
          <w:p>
            <w:pPr>
              <w:jc w:val="center"/>
            </w:pPr>
          </w:p>
        </w:tc>
      </w:tr>
      <w:tr>
        <w:tc>
          <w:tcPr>
            <w:tcW w:w="1560" w:type="dxa"/>
          </w:tcPr>
          <w:p>
            <w:pPr>
              <w:jc w:val="center"/>
            </w:pPr>
            <w:r>
              <w:rPr>
                <w:b/>
              </w:rPr>
              <w:t xml:space="preserve">Trung bình</w:t>
            </w:r>
            <w:r>
              <w:rPr/>
              <w:t xml:space="preserve"> (Từ 5.0 đến dưới 6.5)</w:t>
            </w:r>
          </w:p>
        </w:tc>
        <w:tc>
          <w:tcPr>
            <w:tcW w:w="1560" w:type="dxa"/>
          </w:tcPr>
          <w:p>
            <w:pPr>
              <w:jc w:val="center"/>
            </w:pPr>
            <w:r>
              <w:rPr>
                <w:b/>
              </w:rPr>
              <w:t xml:space="preserve">Đối chứng (12A1)</w:t>
            </w:r>
          </w:p>
        </w:tc>
        <w:tc>
          <w:tcPr>
            <w:tcW w:w="1560" w:type="dxa"/>
          </w:tcPr>
          <w:p>
            <w:pPr>
              <w:jc w:val="center"/>
            </w:pPr>
            <w:r>
              <w:rPr/>
              <w:t xml:space="preserve">22</w:t>
            </w:r>
          </w:p>
        </w:tc>
        <w:tc>
          <w:tcPr>
            <w:tcW w:w="1560" w:type="dxa"/>
          </w:tcPr>
          <w:p>
            <w:pPr>
              <w:jc w:val="center"/>
            </w:pPr>
            <w:r>
              <w:rPr/>
              <w:t xml:space="preserve">55.0%</w:t>
            </w:r>
          </w:p>
        </w:tc>
        <w:tc>
          <w:tcPr>
            <w:tcW w:w="1560" w:type="dxa"/>
          </w:tcPr>
          <w:p>
            <w:pPr>
              <w:jc w:val="center"/>
            </w:pPr>
            <w:r>
              <w:rPr/>
              <w:t xml:space="preserve">19</w:t>
            </w:r>
          </w:p>
        </w:tc>
        <w:tc>
          <w:tcPr>
            <w:tcW w:w="1560" w:type="dxa"/>
          </w:tcPr>
          <w:p>
            <w:pPr>
              <w:jc w:val="center"/>
            </w:pPr>
            <w:r>
              <w:rPr/>
              <w:t xml:space="preserve">47.5%</w:t>
            </w:r>
          </w:p>
        </w:tc>
      </w:tr>
      <w:tr>
        <w:tc>
          <w:tcPr>
            <w:tcW w:w="1560" w:type="dxa"/>
          </w:tcPr>
          <w:p>
            <w:pPr>
              <w:jc w:val="center"/>
            </w:pPr>
            <w:r>
              <w:rPr>
                <w:b/>
              </w:rPr>
              <w:t xml:space="preserve">Thực nghiệm (12A2)</w:t>
            </w:r>
          </w:p>
        </w:tc>
        <w:tc>
          <w:tcPr>
            <w:tcW w:w="1560" w:type="dxa"/>
          </w:tcPr>
          <w:p>
            <w:pPr>
              <w:jc w:val="center"/>
            </w:pPr>
            <w:r>
              <w:rPr/>
              <w:t xml:space="preserve">21</w:t>
            </w:r>
          </w:p>
        </w:tc>
        <w:tc>
          <w:tcPr>
            <w:tcW w:w="1560" w:type="dxa"/>
          </w:tcPr>
          <w:p>
            <w:pPr>
              <w:jc w:val="center"/>
            </w:pPr>
            <w:r>
              <w:rPr/>
              <w:t xml:space="preserve">52.5%</w:t>
            </w:r>
          </w:p>
        </w:tc>
        <w:tc>
          <w:tcPr>
            <w:tcW w:w="1560" w:type="dxa"/>
          </w:tcPr>
          <w:p>
            <w:pPr>
              <w:jc w:val="center"/>
            </w:pPr>
            <w:r>
              <w:rPr/>
              <w:t xml:space="preserve">8</w:t>
            </w:r>
          </w:p>
        </w:tc>
        <w:tc>
          <w:tcPr>
            <w:tcW w:w="1560" w:type="dxa"/>
          </w:tcPr>
          <w:p>
            <w:pPr>
              <w:jc w:val="center"/>
            </w:pPr>
            <w:r>
              <w:rPr/>
              <w:t xml:space="preserve">20.0%</w:t>
            </w:r>
          </w:p>
        </w:tc>
        <w:tc>
          <w:tcPr>
            <w:tcW w:w="1560" w:type="dxa"/>
          </w:tcPr>
          <w:p>
            <w:pPr>
              <w:jc w:val="center"/>
            </w:pPr>
          </w:p>
        </w:tc>
      </w:tr>
      <w:tr>
        <w:tc>
          <w:tcPr>
            <w:tcW w:w="1560" w:type="dxa"/>
          </w:tcPr>
          <w:p>
            <w:pPr>
              <w:jc w:val="center"/>
            </w:pPr>
            <w:r>
              <w:rPr>
                <w:b/>
              </w:rPr>
              <w:t xml:space="preserve">Yếu</w:t>
            </w:r>
            <w:r>
              <w:rPr/>
              <w:t xml:space="preserve"> (Dưới 5.0)</w:t>
            </w:r>
          </w:p>
        </w:tc>
        <w:tc>
          <w:tcPr>
            <w:tcW w:w="1560" w:type="dxa"/>
          </w:tcPr>
          <w:p>
            <w:pPr>
              <w:jc w:val="center"/>
            </w:pPr>
            <w:r>
              <w:rPr>
                <w:b/>
              </w:rPr>
              <w:t xml:space="preserve">Đối chứng (12A1)</w:t>
            </w:r>
          </w:p>
        </w:tc>
        <w:tc>
          <w:tcPr>
            <w:tcW w:w="1560" w:type="dxa"/>
          </w:tcPr>
          <w:p>
            <w:pPr>
              <w:jc w:val="center"/>
            </w:pPr>
            <w:r>
              <w:rPr/>
              <w:t xml:space="preserve">12</w:t>
            </w:r>
          </w:p>
        </w:tc>
        <w:tc>
          <w:tcPr>
            <w:tcW w:w="1560" w:type="dxa"/>
          </w:tcPr>
          <w:p>
            <w:pPr>
              <w:jc w:val="center"/>
            </w:pPr>
            <w:r>
              <w:rPr/>
              <w:t xml:space="preserve">30.0%</w:t>
            </w:r>
          </w:p>
        </w:tc>
        <w:tc>
          <w:tcPr>
            <w:tcW w:w="1560" w:type="dxa"/>
          </w:tcPr>
          <w:p>
            <w:pPr>
              <w:jc w:val="center"/>
            </w:pPr>
            <w:r>
              <w:rPr/>
              <w:t xml:space="preserve">8</w:t>
            </w:r>
          </w:p>
        </w:tc>
        <w:tc>
          <w:tcPr>
            <w:tcW w:w="1560" w:type="dxa"/>
          </w:tcPr>
          <w:p>
            <w:pPr>
              <w:jc w:val="center"/>
            </w:pPr>
            <w:r>
              <w:rPr/>
              <w:t xml:space="preserve">20.0%</w:t>
            </w:r>
          </w:p>
        </w:tc>
      </w:tr>
      <w:tr>
        <w:tc>
          <w:tcPr>
            <w:tcW w:w="1560" w:type="dxa"/>
          </w:tcPr>
          <w:p>
            <w:pPr>
              <w:jc w:val="center"/>
            </w:pPr>
            <w:r>
              <w:rPr>
                <w:b/>
              </w:rPr>
              <w:t xml:space="preserve">Thực nghiệm (12A2)</w:t>
            </w:r>
          </w:p>
        </w:tc>
        <w:tc>
          <w:tcPr>
            <w:tcW w:w="1560" w:type="dxa"/>
          </w:tcPr>
          <w:p>
            <w:pPr>
              <w:jc w:val="center"/>
            </w:pPr>
            <w:r>
              <w:rPr/>
              <w:t xml:space="preserve">12</w:t>
            </w:r>
          </w:p>
        </w:tc>
        <w:tc>
          <w:tcPr>
            <w:tcW w:w="1560" w:type="dxa"/>
          </w:tcPr>
          <w:p>
            <w:pPr>
              <w:jc w:val="center"/>
            </w:pPr>
            <w:r>
              <w:rPr/>
              <w:t xml:space="preserve">30.0%</w:t>
            </w:r>
          </w:p>
        </w:tc>
        <w:tc>
          <w:tcPr>
            <w:tcW w:w="1560" w:type="dxa"/>
          </w:tcPr>
          <w:p>
            <w:pPr>
              <w:jc w:val="center"/>
            </w:pPr>
            <w:r>
              <w:rPr/>
              <w:t xml:space="preserve">0</w:t>
            </w:r>
          </w:p>
        </w:tc>
        <w:tc>
          <w:tcPr>
            <w:tcW w:w="1560" w:type="dxa"/>
          </w:tcPr>
          <w:p>
            <w:pPr>
              <w:jc w:val="center"/>
            </w:pPr>
            <w:r>
              <w:rPr/>
              <w:t xml:space="preserve">0.0%</w:t>
            </w:r>
          </w:p>
        </w:tc>
        <w:tc>
          <w:tcPr>
            <w:tcW w:w="1560" w:type="dxa"/>
          </w:tcPr>
          <w:p>
            <w:pPr>
              <w:jc w:val="center"/>
            </w:pPr>
          </w:p>
        </w:tc>
      </w:tr>
      <w:tr>
        <w:tc>
          <w:tcPr>
            <w:tcW w:w="1560" w:type="dxa"/>
          </w:tcPr>
          <w:p>
            <w:pPr>
              <w:jc w:val="center"/>
            </w:pPr>
            <w:r>
              <w:rPr>
                <w:b/>
              </w:rPr>
              <w:t xml:space="preserve">Tổng cộng</w:t>
            </w:r>
          </w:p>
        </w:tc>
        <w:tc>
          <w:tcPr>
            <w:tcW w:w="1560" w:type="dxa"/>
          </w:tcPr>
          <w:p>
            <w:pPr>
              <w:jc w:val="center"/>
            </w:pPr>
            <w:r>
              <w:rPr>
                <w:b/>
              </w:rPr>
              <w:t xml:space="preserve">80</w:t>
            </w:r>
          </w:p>
        </w:tc>
        <w:tc>
          <w:tcPr>
            <w:tcW w:w="1560" w:type="dxa"/>
          </w:tcPr>
          <w:p>
            <w:pPr>
              <w:jc w:val="center"/>
            </w:pPr>
            <w:r>
              <w:rPr>
                <w:b/>
              </w:rPr>
              <w:t xml:space="preserve">100%</w:t>
            </w:r>
          </w:p>
        </w:tc>
        <w:tc>
          <w:tcPr>
            <w:tcW w:w="1560" w:type="dxa"/>
          </w:tcPr>
          <w:p>
            <w:pPr>
              <w:jc w:val="center"/>
            </w:pPr>
            <w:r>
              <w:rPr>
                <w:b/>
              </w:rPr>
              <w:t xml:space="preserve">80</w:t>
            </w:r>
          </w:p>
        </w:tc>
        <w:tc>
          <w:tcPr>
            <w:tcW w:w="1560" w:type="dxa"/>
          </w:tcPr>
          <w:p>
            <w:pPr>
              <w:jc w:val="center"/>
            </w:pPr>
            <w:r>
              <w:rPr>
                <w:b/>
              </w:rPr>
              <w:t xml:space="preserve">100%</w:t>
            </w:r>
          </w:p>
        </w:tc>
        <w:tc>
          <w:tcPr>
            <w:tcW w:w="1560" w:type="dxa"/>
          </w:tcPr>
          <w:p>
            <w:pPr>
              <w:jc w:val="center"/>
            </w:pPr>
          </w:p>
        </w:tc>
      </w:tr>
    </w:tbl>
    <w:p>
      <w:pPr>
        <w:spacing w:after="120"/>
      </w:pPr>
    </w:p>
    <w:p>
      <w:pPr>
        <w:jc w:val="both"/>
        <w:tabs>
          <w:tab w:val="left" w:pos="720"/>
        </w:tabs>
        <w:ind w:left="720" w:hanging="360"/>
        <w:spacing w:after="60"/>
      </w:pPr>
      <w:r>
        <w:t xml:space="preserve">• </w:t>
        <w:tab/>
      </w:r>
      <w:r>
        <w:rPr>
          <w:b/>
        </w:rPr>
        <w:t xml:space="preserve">Nhận xét:</w:t>
      </w:r>
    </w:p>
    <w:p>
      <w:pPr>
        <w:jc w:val="both"/>
        <w:tabs>
          <w:tab w:val="left" w:pos="720"/>
        </w:tabs>
        <w:ind w:left="720" w:hanging="360"/>
        <w:spacing w:after="60"/>
      </w:pPr>
      <w:r>
        <w:t xml:space="preserve">• </w:t>
        <w:tab/>
      </w:r>
      <w:r>
        <w:rPr/>
        <w:t xml:space="preserve">Trước tác động, cả hai lớp đều có tỷ lệ học sinh yếu và trung bình cao (tổng cộng trên 80%), không có học sinh đạt loại Giỏi, phản ánh đúng thực trạng "học sinh yếu năng lực tưởng tượng không gian" và "kết quả kiểm tra thấp".</w:t>
      </w:r>
    </w:p>
    <w:p>
      <w:pPr>
        <w:jc w:val="both"/>
        <w:tabs>
          <w:tab w:val="left" w:pos="720"/>
        </w:tabs>
        <w:ind w:left="720" w:hanging="360"/>
        <w:spacing w:after="60"/>
      </w:pPr>
      <w:r>
        <w:t xml:space="preserve">• </w:t>
        <w:tab/>
      </w:r>
      <w:r>
        <w:rPr/>
        <w:t xml:space="preserve">Sau tác động, sự thay đổi về học lực của lớp Thực nghiệm (12A2) là rất rõ rệt và tích cực:</w:t>
      </w:r>
    </w:p>
    <w:p>
      <w:pPr>
        <w:jc w:val="both"/>
        <w:tabs>
          <w:tab w:val="left" w:pos="720"/>
        </w:tabs>
        <w:ind w:left="720" w:hanging="360"/>
        <w:spacing w:after="60"/>
      </w:pPr>
      <w:r>
        <w:t xml:space="preserve">• </w:t>
        <w:tab/>
      </w:r>
      <w:r>
        <w:rPr/>
        <w:t xml:space="preserve">Tỷ lệ học sinh đạt loại Giỏi tăng từ 0% lên 30.0% (12 học sinh).</w:t>
      </w:r>
    </w:p>
    <w:p>
      <w:pPr>
        <w:jc w:val="both"/>
        <w:tabs>
          <w:tab w:val="left" w:pos="720"/>
        </w:tabs>
        <w:ind w:left="720" w:hanging="360"/>
        <w:spacing w:after="60"/>
      </w:pPr>
      <w:r>
        <w:t xml:space="preserve">• </w:t>
        <w:tab/>
      </w:r>
      <w:r>
        <w:rPr/>
        <w:t xml:space="preserve">Tỷ lệ học sinh đạt loại Khá tăng từ 17.5% lên 50.0% (20 học sinh).</w:t>
      </w:r>
    </w:p>
    <w:p>
      <w:pPr>
        <w:jc w:val="both"/>
        <w:tabs>
          <w:tab w:val="left" w:pos="720"/>
        </w:tabs>
        <w:ind w:left="720" w:hanging="360"/>
        <w:spacing w:after="60"/>
      </w:pPr>
      <w:r>
        <w:t xml:space="preserve">• </w:t>
        <w:tab/>
      </w:r>
      <w:r>
        <w:rPr/>
        <w:t xml:space="preserve">Tổng số học sinh đạt loại Khá và Giỏi của lớp Thực nghiệm là 80.0% (32 học sinh), vượt mục tiêu đề ra (ít nhất 70% học sinh đạt điểm từ 7 trở lên).</w:t>
      </w:r>
    </w:p>
    <w:p>
      <w:pPr>
        <w:jc w:val="both"/>
        <w:tabs>
          <w:tab w:val="left" w:pos="720"/>
        </w:tabs>
        <w:ind w:left="720" w:hanging="360"/>
        <w:spacing w:after="60"/>
      </w:pPr>
      <w:r>
        <w:t xml:space="preserve">• </w:t>
        <w:tab/>
      </w:r>
      <w:r>
        <w:rPr/>
        <w:t xml:space="preserve">Đặc biệt, tỷ lệ học sinh yếu giảm từ 30.0% xuống 0%, cho thấy giải pháp đã giúp khắc phục hoàn toàn tình trạng học sinh yếu kém trong chủ đề này.</w:t>
      </w:r>
    </w:p>
    <w:p>
      <w:pPr>
        <w:jc w:val="both"/>
        <w:tabs>
          <w:tab w:val="left" w:pos="720"/>
        </w:tabs>
        <w:ind w:left="720" w:hanging="360"/>
        <w:spacing w:after="60"/>
      </w:pPr>
      <w:r>
        <w:t xml:space="preserve">• </w:t>
        <w:tab/>
      </w:r>
      <w:r>
        <w:rPr/>
        <w:t xml:space="preserve">Trong khi đó, lớp Đối chứng (12A1) cũng có sự cải thiện nhưng ở mức độ khiêm tốn hơn: tỷ lệ học sinh Giỏi và Khá tăng nhẹ (tổng cộng 32.5%), tỷ lệ học sinh Yếu giảm nhưng vẫn còn 20.0%.</w:t>
      </w:r>
    </w:p>
    <w:p>
      <w:pPr>
        <w:jc w:val="both"/>
        <w:ind w:firstLine="720"/>
        <w:spacing w:line="360" w:lineRule="auto" w:after="120"/>
      </w:pPr>
      <w:r>
        <w:rPr/>
        <w:t xml:space="preserve">Những số liệu trên đã minh chứng một cách khách quan và khoa học về tính hiệu quả của việc ứng dụng công nghệ số trong mô hình hóa 3D để nâng cao năng lực tưởng tượng không gian và chất lượng học tập môn Toán cho học sinh lớp 12 tại Trường THPT PPPPTTTT.</w:t>
      </w:r>
    </w:p>
    <w:p>
      <w:pPr>
        <w:spacing w:before="240"/>
        <w:jc w:val="center"/>
      </w:pPr>
      <w:r>
        <w:rPr>
          <w:b/>
          <w:sz w:val="28"/>
        </w:rPr>
        <w:t>DANH MỤC HÌNH ẢNH MINH CHỨNG THỰC TẾ</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