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center"/>
      </w:pPr>
      <w:r>
        <w:rPr>
          <w:rtl/>
        </w:rPr>
        <w:t xml:space="preserve">סיכום שלב א' ותוכנית הסימולציה</w:t>
      </w:r>
    </w:p>
    <w:p>
      <w:pPr>
        <w:bidi/>
        <w:spacing w:after="300"/>
        <w:jc w:val="center"/>
      </w:pPr>
      <w:r>
        <w:rPr>
          <w:color w:val="666666"/>
          <w:rtl/>
        </w:rPr>
        <w:t xml:space="preserve">פרויקט LegalBAF · אוקטובר 2026</w:t>
      </w:r>
    </w:p>
    <w:p>
      <w:pPr>
        <w:pStyle w:val="Heading1"/>
        <w:bidi/>
      </w:pPr>
      <w:r>
        <w:rPr>
          <w:rtl/>
        </w:rPr>
        <w:t xml:space="preserve">1. מטרת הפרויקט</w:t>
      </w:r>
    </w:p>
    <w:p>
      <w:pPr>
        <w:bidi/>
        <w:spacing w:after="120"/>
      </w:pPr>
      <w:r>
        <w:rPr>
          <w:rtl/>
        </w:rPr>
        <w:t xml:space="preserve">מערכת שמדמה דיון משפטי בעזרת שלושה סוכני LLM:</w:t>
      </w:r>
    </w:p>
    <w:p>
      <w:pPr>
        <w:pStyle w:val="ListParagraph"/>
        <w:numPr>
          <w:ilvl w:val="0"/>
          <w:numId w:val="2"/>
        </w:numPr>
        <w:bidi/>
        <w:spacing w:after="60"/>
      </w:pPr>
      <w:r>
        <w:rPr>
          <w:b/>
          <w:bCs/>
          <w:rtl/>
        </w:rPr>
        <w:t xml:space="preserve">סוכן התביעה</w:t>
      </w:r>
      <w:r>
        <w:rPr>
          <w:rtl/>
        </w:rPr>
        <w:t xml:space="preserve"> מייצר טיעונים נגד הנאשם.</w:t>
      </w:r>
    </w:p>
    <w:p>
      <w:pPr>
        <w:pStyle w:val="ListParagraph"/>
        <w:numPr>
          <w:ilvl w:val="0"/>
          <w:numId w:val="2"/>
        </w:numPr>
        <w:bidi/>
        <w:spacing w:after="60"/>
      </w:pPr>
      <w:r>
        <w:rPr>
          <w:b/>
          <w:bCs/>
          <w:rtl/>
        </w:rPr>
        <w:t xml:space="preserve">סוכן ההגנה</w:t>
      </w:r>
      <w:r>
        <w:rPr>
          <w:rtl/>
        </w:rPr>
        <w:t xml:space="preserve"> מייצר טיעונים בעד הנאשם.</w:t>
      </w:r>
    </w:p>
    <w:p>
      <w:pPr>
        <w:pStyle w:val="ListParagraph"/>
        <w:numPr>
          <w:ilvl w:val="0"/>
          <w:numId w:val="2"/>
        </w:numPr>
        <w:bidi/>
        <w:spacing w:after="60"/>
      </w:pPr>
      <w:r>
        <w:rPr>
          <w:b/>
          <w:bCs/>
          <w:rtl/>
        </w:rPr>
        <w:t xml:space="preserve">סוכן השופט</w:t>
      </w:r>
      <w:r>
        <w:rPr>
          <w:rtl/>
        </w:rPr>
        <w:t xml:space="preserve"> שוקל את עוצמת הטיעונים ומכריע.</w:t>
      </w:r>
    </w:p>
    <w:p>
      <w:pPr>
        <w:bidi/>
        <w:spacing w:after="120"/>
      </w:pPr>
      <w:r>
        <w:rPr>
          <w:rtl/>
        </w:rPr>
        <w:t xml:space="preserve">הדיון מיוצג כגרף טיעונים כמותי (QBAF). התחום שבחרנו הוא פסקי דין של בית הדין האירופי לזכויות אדם לפי סעיף 10 (חופש הביטוי), בתיקי עיתונות ולשון הרע. בתיקים האלה "הנאשם" הוא המדינה:</w:t>
      </w:r>
    </w:p>
    <w:p>
      <w:pPr>
        <w:pStyle w:val="ListParagraph"/>
        <w:numPr>
          <w:ilvl w:val="0"/>
          <w:numId w:val="2"/>
        </w:numPr>
        <w:bidi/>
        <w:spacing w:after="60"/>
      </w:pPr>
      <w:r>
        <w:rPr>
          <w:b/>
          <w:bCs/>
          <w:rtl/>
        </w:rPr>
        <w:t xml:space="preserve">התביעה</w:t>
      </w:r>
      <w:r>
        <w:rPr>
          <w:rtl/>
        </w:rPr>
        <w:t xml:space="preserve"> היא צד המבקש, וטוענת שהייתה הפרה (violation).</w:t>
      </w:r>
    </w:p>
    <w:p>
      <w:pPr>
        <w:pStyle w:val="ListParagraph"/>
        <w:numPr>
          <w:ilvl w:val="0"/>
          <w:numId w:val="2"/>
        </w:numPr>
        <w:bidi/>
        <w:spacing w:after="60"/>
      </w:pPr>
      <w:r>
        <w:rPr>
          <w:b/>
          <w:bCs/>
          <w:rtl/>
        </w:rPr>
        <w:t xml:space="preserve">ההגנה</w:t>
      </w:r>
      <w:r>
        <w:rPr>
          <w:rtl/>
        </w:rPr>
        <w:t xml:space="preserve"> היא צד הממשלה, וטוענת שלא הייתה הפרה (no violation).</w:t>
      </w:r>
    </w:p>
    <w:p>
      <w:pPr>
        <w:pStyle w:val="Heading1"/>
        <w:bidi/>
      </w:pPr>
      <w:r>
        <w:rPr>
          <w:rtl/>
        </w:rPr>
        <w:t xml:space="preserve">2. מבנה הגרף</w:t>
      </w:r>
    </w:p>
    <w:p>
      <w:pPr>
        <w:pStyle w:val="ListParagraph"/>
        <w:numPr>
          <w:ilvl w:val="0"/>
          <w:numId w:val="2"/>
        </w:numPr>
        <w:bidi/>
        <w:spacing w:after="60"/>
      </w:pPr>
      <w:r>
        <w:rPr>
          <w:b/>
          <w:bCs/>
          <w:rtl/>
        </w:rPr>
        <w:t xml:space="preserve">צמתי החלטה:</w:t>
      </w:r>
      <w:r>
        <w:rPr>
          <w:rtl/>
        </w:rPr>
        <w:t xml:space="preserve"> שניים, מוגדרים מראש: violation ו-no violation.</w:t>
      </w:r>
    </w:p>
    <w:p>
      <w:pPr>
        <w:pStyle w:val="ListParagraph"/>
        <w:numPr>
          <w:ilvl w:val="0"/>
          <w:numId w:val="2"/>
        </w:numPr>
        <w:bidi/>
        <w:spacing w:after="60"/>
      </w:pPr>
      <w:r>
        <w:rPr>
          <w:b/>
          <w:bCs/>
          <w:rtl/>
        </w:rPr>
        <w:t xml:space="preserve">צמתי טיעון:</w:t>
      </w:r>
      <w:r>
        <w:rPr>
          <w:rtl/>
        </w:rPr>
        <w:t xml:space="preserve"> כל טענה שאחד הסוכנים העלה.</w:t>
      </w:r>
    </w:p>
    <w:p>
      <w:pPr>
        <w:pStyle w:val="ListParagraph"/>
        <w:numPr>
          <w:ilvl w:val="0"/>
          <w:numId w:val="2"/>
        </w:numPr>
        <w:bidi/>
        <w:spacing w:after="60"/>
      </w:pPr>
      <w:r>
        <w:rPr>
          <w:b/>
          <w:bCs/>
          <w:rtl/>
        </w:rPr>
        <w:t xml:space="preserve">קשתות תמיכה בלבד:</w:t>
      </w:r>
      <w:r>
        <w:rPr>
          <w:rtl/>
        </w:rPr>
        <w:t xml:space="preserve"> כל טיעון מחובר בקשת מכוונת אחת להחלטה שהוא מחזק. אין קשתות התקפה ואין קשתות בין טיעונים.</w:t>
      </w:r>
    </w:p>
    <w:p>
      <w:pPr>
        <w:pStyle w:val="ListParagraph"/>
        <w:numPr>
          <w:ilvl w:val="0"/>
          <w:numId w:val="2"/>
        </w:numPr>
        <w:bidi/>
        <w:spacing w:after="60"/>
      </w:pPr>
      <w:r>
        <w:rPr>
          <w:b/>
          <w:bCs/>
          <w:rtl/>
        </w:rPr>
        <w:t xml:space="preserve">משקל קשת:</w:t>
      </w:r>
      <w:r>
        <w:rPr>
          <w:rtl/>
        </w:rPr>
        <w:t xml:space="preserve"> חוזק הטיעון שקבע השופט (בין 0 ל-1), כפול משקל הקטגוריה θ. בשלב א' כל ה-θ שווים ל-1.</w:t>
      </w:r>
    </w:p>
    <w:p>
      <w:pPr>
        <w:pStyle w:val="ListParagraph"/>
        <w:numPr>
          <w:ilvl w:val="0"/>
          <w:numId w:val="2"/>
        </w:numPr>
        <w:bidi/>
        <w:spacing w:after="60"/>
      </w:pPr>
      <w:r>
        <w:rPr>
          <w:b/>
          <w:bCs/>
          <w:rtl/>
        </w:rPr>
        <w:t xml:space="preserve">הכרעה:</w:t>
      </w:r>
      <w:r>
        <w:rPr>
          <w:rtl/>
        </w:rPr>
        <w:t xml:space="preserve"> הציון של כל החלטה הוא סכום המשקלים של הקשתות שנכנסות אליה, וההחלטה עם הציון הגבוה מנצחת. בתיקו ההכרעה היא "undecided". בחרנו בסכום לינארי כדי שבשלב ב' אפשר יהיה לכייל את θ בתוכנית לינארית (Linear Programming).</w:t>
      </w:r>
    </w:p>
    <w:p>
      <w:pPr>
        <w:pStyle w:val="Heading1"/>
        <w:bidi/>
      </w:pPr>
      <w:r>
        <w:rPr>
          <w:rtl/>
        </w:rPr>
        <w:t xml:space="preserve">3. חלוקת התפקידים בין הסוכנים</w:t>
      </w:r>
    </w:p>
    <w:p>
      <w:pPr>
        <w:pStyle w:val="ListParagraph"/>
        <w:numPr>
          <w:ilvl w:val="0"/>
          <w:numId w:val="2"/>
        </w:numPr>
        <w:bidi/>
        <w:spacing w:after="60"/>
      </w:pPr>
      <w:r>
        <w:rPr>
          <w:b/>
          <w:bCs/>
          <w:rtl/>
        </w:rPr>
        <w:t xml:space="preserve">סוכן התביעה</w:t>
      </w:r>
      <w:r>
        <w:rPr>
          <w:rtl/>
        </w:rPr>
        <w:t xml:space="preserve"> מכניס לגרף את הטיעונים שלו, עם קשת תמיכה ל-violation.</w:t>
      </w:r>
    </w:p>
    <w:p>
      <w:pPr>
        <w:pStyle w:val="ListParagraph"/>
        <w:numPr>
          <w:ilvl w:val="0"/>
          <w:numId w:val="2"/>
        </w:numPr>
        <w:bidi/>
        <w:spacing w:after="60"/>
      </w:pPr>
      <w:r>
        <w:rPr>
          <w:b/>
          <w:bCs/>
          <w:rtl/>
        </w:rPr>
        <w:t xml:space="preserve">סוכן ההגנה</w:t>
      </w:r>
      <w:r>
        <w:rPr>
          <w:rtl/>
        </w:rPr>
        <w:t xml:space="preserve"> מכניס לגרף את הטיעונים שלו, עם קשת תמיכה ל-no violation.</w:t>
      </w:r>
    </w:p>
    <w:p>
      <w:pPr>
        <w:pStyle w:val="ListParagraph"/>
        <w:numPr>
          <w:ilvl w:val="0"/>
          <w:numId w:val="2"/>
        </w:numPr>
        <w:bidi/>
        <w:spacing w:after="60"/>
      </w:pPr>
      <w:r>
        <w:rPr>
          <w:b/>
          <w:bCs/>
          <w:rtl/>
        </w:rPr>
        <w:t xml:space="preserve">הסוכנים לא קובעים משקלים.</w:t>
      </w:r>
      <w:r>
        <w:rPr>
          <w:rtl/>
        </w:rPr>
        <w:t xml:space="preserve"> הקשת נכנסת לגרף בלי משקל. אילו עורכי הדין היו קובעים את המשקלים, כל צד היה מנפח את הטיעונים שלו.</w:t>
      </w:r>
    </w:p>
    <w:p>
      <w:pPr>
        <w:pStyle w:val="ListParagraph"/>
        <w:numPr>
          <w:ilvl w:val="0"/>
          <w:numId w:val="2"/>
        </w:numPr>
        <w:bidi/>
        <w:spacing w:after="60"/>
      </w:pPr>
      <w:r>
        <w:rPr>
          <w:b/>
          <w:bCs/>
          <w:rtl/>
        </w:rPr>
        <w:t xml:space="preserve">השופט</w:t>
      </w:r>
      <w:r>
        <w:rPr>
          <w:rtl/>
        </w:rPr>
        <w:t xml:space="preserve"> לא מוסיף לגרף טיעונים ולא קשתות. הוא קורא את הטיעונים מהגרף, מסווג כל אחד לקטגוריה, קובע את משקל הקשת ומכריע.</w:t>
      </w:r>
    </w:p>
    <w:p>
      <w:pPr>
        <w:pStyle w:val="ListParagraph"/>
        <w:numPr>
          <w:ilvl w:val="0"/>
          <w:numId w:val="2"/>
        </w:numPr>
        <w:bidi/>
        <w:spacing w:after="60"/>
      </w:pPr>
      <w:r>
        <w:rPr>
          <w:b/>
          <w:bCs/>
          <w:rtl/>
        </w:rPr>
        <w:t xml:space="preserve">אכיפה בקוד:</w:t>
      </w:r>
      <w:r>
        <w:rPr>
          <w:rtl/>
        </w:rPr>
        <w:t xml:space="preserve"> אי אפשר לחשב הכרעה כל עוד יש בגרף קשת שהשופט לא שקל.</w:t>
      </w:r>
    </w:p>
    <w:p>
      <w:pPr>
        <w:bidi/>
        <w:spacing w:after="120"/>
      </w:pPr>
      <w:r>
        <w:rPr>
          <w:rtl/>
        </w:rPr>
        <w:t xml:space="preserve">בגרסה הראשונה של הקוד השופט הוא שהכניס את הטיעונים לגרף. תיקנו את זה כך שהטיעונים נכנסים דרך הסוכנים. אחרי התיקון הגרפים יצאו זהים לחלוטין לגרסה הקודמת, כי ההערכות של השופט לא השתנו.</w:t>
      </w:r>
    </w:p>
    <w:p>
      <w:pPr>
        <w:pStyle w:val="Heading1"/>
        <w:bidi/>
      </w:pPr>
      <w:r>
        <w:rPr>
          <w:rtl/>
        </w:rPr>
        <w:t xml:space="preserve">4. מה עשינו בשלב א'</w:t>
      </w:r>
    </w:p>
    <w:p>
      <w:pPr>
        <w:pStyle w:val="Heading2"/>
        <w:bidi/>
      </w:pPr>
      <w:r>
        <w:rPr>
          <w:rtl/>
        </w:rPr>
        <w:t xml:space="preserve">4.1 איסוף הנתונים</w:t>
      </w:r>
    </w:p>
    <w:p>
      <w:pPr>
        <w:bidi/>
        <w:spacing w:after="120"/>
      </w:pPr>
      <w:r>
        <w:rPr>
          <w:b/>
          <w:bCs/>
          <w:rtl/>
        </w:rPr>
        <w:t xml:space="preserve">המדגם:</w:t>
      </w:r>
      <w:r>
        <w:rPr>
          <w:rtl/>
        </w:rPr>
        <w:t xml:space="preserve"> חמישה פסקי דין אמיתיים של בית הדין האירופי לפי סעיף 10:</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מזהה</w:t>
            </w:r>
          </w:p>
        </w:tc>
        <w:tc>
          <w:tcPr>
            <w:tcW w:type="dxa" w:w="4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תיק</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ההכרעה בפועל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001-164453</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Ziembiński v. Poland (No. 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violation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001-127395</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Ristamäki and Korvola v. Finland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violation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001-102358</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Novaya Gazeta v Voronezhe v. Russia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violation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001-59207</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Tammer v. Estonia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no violation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001-85085</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Rumyana Ivanova v. Bulgaria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no violation</w:t>
            </w:r>
          </w:p>
        </w:tc>
      </w:tr>
    </w:tbl>
    <w:p>
      <w:pPr>
        <w:bidi/>
        <w:spacing w:after="120"/>
      </w:pPr>
    </w:p>
    <w:p>
      <w:pPr>
        <w:pStyle w:val="ListParagraph"/>
        <w:numPr>
          <w:ilvl w:val="0"/>
          <w:numId w:val="2"/>
        </w:numPr>
        <w:bidi/>
        <w:spacing w:after="60"/>
      </w:pPr>
      <w:r>
        <w:rPr>
          <w:b/>
          <w:bCs/>
          <w:rtl/>
        </w:rPr>
        <w:t xml:space="preserve">הורדה:</w:t>
      </w:r>
      <w:r>
        <w:rPr>
          <w:rtl/>
        </w:rPr>
        <w:t xml:space="preserve"> אתר HUDOC מחזיר דף JavaScript בלי הטקסט, ולכן את הטקסט המלא של פסקי הדין הורדנו מאתר המראה ferenda.lagen.nu.</w:t>
      </w:r>
    </w:p>
    <w:p>
      <w:pPr>
        <w:pStyle w:val="ListParagraph"/>
        <w:numPr>
          <w:ilvl w:val="0"/>
          <w:numId w:val="2"/>
        </w:numPr>
        <w:bidi/>
        <w:spacing w:after="60"/>
      </w:pPr>
      <w:r>
        <w:rPr>
          <w:b/>
          <w:bCs/>
          <w:rtl/>
        </w:rPr>
        <w:t xml:space="preserve">חילוץ:</w:t>
      </w:r>
      <w:r>
        <w:rPr>
          <w:rtl/>
        </w:rPr>
        <w:t xml:space="preserve"> Claude קורא כל פסק דין ומחלץ ממנו:</w:t>
      </w:r>
    </w:p>
    <w:p>
      <w:pPr>
        <w:pStyle w:val="ListParagraph"/>
        <w:numPr>
          <w:ilvl w:val="1"/>
          <w:numId w:val="2"/>
        </w:numPr>
        <w:bidi/>
        <w:spacing w:after="60"/>
      </w:pPr>
      <w:r>
        <w:rPr>
          <w:b/>
          <w:bCs/>
          <w:rtl/>
        </w:rPr>
        <w:t xml:space="preserve">עובדות:</w:t>
      </w:r>
      <w:r>
        <w:rPr>
          <w:rtl/>
        </w:rPr>
        <w:t xml:space="preserve"> תיאור ניטרלי של הרקע ושל ההליכים בבתי המשפט המקומיים, כולל ציטוט מדויק של הפרסום. ההוראה למודל היא להשמיט כל דבר מהנימוק של בית הדין האירופי וכל דבר שחושף איך הוא פסק.</w:t>
      </w:r>
    </w:p>
    <w:p>
      <w:pPr>
        <w:pStyle w:val="ListParagraph"/>
        <w:numPr>
          <w:ilvl w:val="1"/>
          <w:numId w:val="2"/>
        </w:numPr>
        <w:bidi/>
        <w:spacing w:after="60"/>
      </w:pPr>
      <w:r>
        <w:rPr>
          <w:b/>
          <w:bCs/>
          <w:rtl/>
        </w:rPr>
        <w:t xml:space="preserve">טענות המבקש וטענות הממשלה:</w:t>
      </w:r>
      <w:r>
        <w:rPr>
          <w:rtl/>
        </w:rPr>
        <w:t xml:space="preserve"> כל טענה כפריט נפרד.</w:t>
      </w:r>
    </w:p>
    <w:p>
      <w:pPr>
        <w:pStyle w:val="ListParagraph"/>
        <w:numPr>
          <w:ilvl w:val="1"/>
          <w:numId w:val="2"/>
        </w:numPr>
        <w:bidi/>
        <w:spacing w:after="60"/>
      </w:pPr>
      <w:r>
        <w:rPr>
          <w:b/>
          <w:bCs/>
          <w:rtl/>
        </w:rPr>
        <w:t xml:space="preserve">ההכרעה:</w:t>
      </w:r>
      <w:r>
        <w:rPr>
          <w:rtl/>
        </w:rPr>
        <w:t xml:space="preserve"> violation או no violation, מתוך החלק האופרטיבי של פסק הדין.</w:t>
      </w:r>
    </w:p>
    <w:p>
      <w:pPr>
        <w:pStyle w:val="ListParagraph"/>
        <w:numPr>
          <w:ilvl w:val="0"/>
          <w:numId w:val="2"/>
        </w:numPr>
        <w:bidi/>
        <w:spacing w:after="60"/>
      </w:pPr>
      <w:r>
        <w:rPr>
          <w:b/>
          <w:bCs/>
          <w:rtl/>
        </w:rPr>
        <w:t xml:space="preserve">שמירה במטמון:</w:t>
      </w:r>
      <w:r>
        <w:rPr>
          <w:rtl/>
        </w:rPr>
        <w:t xml:space="preserve"> כל תוצר נשמר בקובץ (</w:t>
      </w:r>
      <w:r>
        <w:rPr>
          <w:rFonts w:ascii="Consolas" w:cs="Consolas" w:eastAsia="Consolas" w:hAnsi="Consolas"/>
          <w:sz w:val="20"/>
          <w:szCs w:val="20"/>
        </w:rPr>
        <w:t xml:space="preserve">data/raw</w:t>
      </w:r>
      <w:r>
        <w:rPr>
          <w:rtl/>
        </w:rPr>
        <w:t xml:space="preserve">, </w:t>
      </w:r>
      <w:r>
        <w:rPr>
          <w:rFonts w:ascii="Consolas" w:cs="Consolas" w:eastAsia="Consolas" w:hAnsi="Consolas"/>
          <w:sz w:val="20"/>
          <w:szCs w:val="20"/>
        </w:rPr>
        <w:t xml:space="preserve">data/cases</w:t>
      </w:r>
      <w:r>
        <w:rPr>
          <w:rtl/>
        </w:rPr>
        <w:t xml:space="preserve">), כך שריצה חוזרת לא מורידה ולא מחלצת שוב.</w:t>
      </w:r>
    </w:p>
    <w:p>
      <w:pPr>
        <w:pStyle w:val="Heading2"/>
        <w:bidi/>
      </w:pPr>
      <w:r>
        <w:rPr>
          <w:rtl/>
        </w:rPr>
        <w:t xml:space="preserve">4.2 בניית הגרף מהטענות האמיתיות (מצב א')</w:t>
      </w:r>
    </w:p>
    <w:p>
      <w:pPr>
        <w:pStyle w:val="ListParagraph"/>
        <w:numPr>
          <w:ilvl w:val="0"/>
          <w:numId w:val="3"/>
        </w:numPr>
        <w:bidi/>
        <w:spacing w:after="60"/>
      </w:pPr>
      <w:r>
        <w:rPr>
          <w:rtl/>
        </w:rPr>
        <w:t xml:space="preserve">הגרף מתחיל עם שני צמתי ההחלטה בלבד.</w:t>
      </w:r>
    </w:p>
    <w:p>
      <w:pPr>
        <w:pStyle w:val="ListParagraph"/>
        <w:numPr>
          <w:ilvl w:val="0"/>
          <w:numId w:val="3"/>
        </w:numPr>
        <w:bidi/>
        <w:spacing w:after="60"/>
      </w:pPr>
      <w:r>
        <w:rPr>
          <w:rtl/>
        </w:rPr>
        <w:t xml:space="preserve">סוכן התביעה מכניס את טענות המבקש (A1, A2...).</w:t>
      </w:r>
    </w:p>
    <w:p>
      <w:pPr>
        <w:pStyle w:val="ListParagraph"/>
        <w:numPr>
          <w:ilvl w:val="0"/>
          <w:numId w:val="3"/>
        </w:numPr>
        <w:bidi/>
        <w:spacing w:after="60"/>
      </w:pPr>
      <w:r>
        <w:rPr>
          <w:rtl/>
        </w:rPr>
        <w:t xml:space="preserve">סוכן ההגנה מכניס את טענות הממשלה (G1, G2...).</w:t>
      </w:r>
    </w:p>
    <w:p>
      <w:pPr>
        <w:pStyle w:val="ListParagraph"/>
        <w:numPr>
          <w:ilvl w:val="0"/>
          <w:numId w:val="3"/>
        </w:numPr>
        <w:bidi/>
        <w:spacing w:after="60"/>
      </w:pPr>
      <w:r>
        <w:rPr>
          <w:rtl/>
        </w:rPr>
        <w:t xml:space="preserve">השופט מקבל את העובדות ואת הטיעונים שבגרף, ולכל טיעון קובע קטגוריה, חוזק ונימוק (פירוט בהמשך).</w:t>
      </w:r>
    </w:p>
    <w:p>
      <w:pPr>
        <w:pStyle w:val="ListParagraph"/>
        <w:numPr>
          <w:ilvl w:val="0"/>
          <w:numId w:val="3"/>
        </w:numPr>
        <w:bidi/>
        <w:spacing w:after="60"/>
      </w:pPr>
      <w:r>
        <w:rPr>
          <w:rtl/>
        </w:rPr>
        <w:t xml:space="preserve">השופט קובע את משקלי הקשתות ומכריע.</w:t>
      </w:r>
    </w:p>
    <w:p>
      <w:pPr>
        <w:pStyle w:val="ListParagraph"/>
        <w:numPr>
          <w:ilvl w:val="0"/>
          <w:numId w:val="3"/>
        </w:numPr>
        <w:bidi/>
        <w:spacing w:after="60"/>
      </w:pPr>
      <w:r>
        <w:rPr>
          <w:rtl/>
        </w:rPr>
        <w:t xml:space="preserve">ההערכה של השופט נשמרת (</w:t>
      </w:r>
      <w:r>
        <w:rPr>
          <w:rFonts w:ascii="Consolas" w:cs="Consolas" w:eastAsia="Consolas" w:hAnsi="Consolas"/>
          <w:sz w:val="20"/>
          <w:szCs w:val="20"/>
        </w:rPr>
        <w:t xml:space="preserve">data/assessments</w:t>
      </w:r>
      <w:r>
        <w:rPr>
          <w:rtl/>
        </w:rPr>
        <w:t xml:space="preserve">), כך שבנייה מחדש של הגרף לא דורשת קריאה נוספת ל-API.</w:t>
      </w:r>
    </w:p>
    <w:p>
      <w:pPr>
        <w:pStyle w:val="ListParagraph"/>
        <w:numPr>
          <w:ilvl w:val="0"/>
          <w:numId w:val="3"/>
        </w:numPr>
        <w:bidi/>
        <w:spacing w:after="60"/>
      </w:pPr>
      <w:r>
        <w:rPr>
          <w:rtl/>
        </w:rPr>
        <w:t xml:space="preserve">לכל תיק נכתב גרף כקובץ JSON וכדף HTML אינטראקטיבי (</w:t>
      </w:r>
      <w:r>
        <w:rPr>
          <w:rFonts w:ascii="Consolas" w:cs="Consolas" w:eastAsia="Consolas" w:hAnsi="Consolas"/>
          <w:sz w:val="20"/>
          <w:szCs w:val="20"/>
        </w:rPr>
        <w:t xml:space="preserve">data/graphs</w:t>
      </w:r>
      <w:r>
        <w:rPr>
          <w:rtl/>
        </w:rPr>
        <w:t xml:space="preserve">).</w:t>
      </w:r>
    </w:p>
    <w:p>
      <w:pPr>
        <w:bidi/>
        <w:spacing w:after="120"/>
      </w:pPr>
      <w:r>
        <w:rPr>
          <w:b/>
          <w:bCs/>
          <w:rtl/>
        </w:rPr>
        <w:t xml:space="preserve">קטגוריה:</w:t>
      </w:r>
      <w:r>
        <w:rPr>
          <w:rtl/>
        </w:rPr>
        <w:t xml:space="preserve"> אחת מתוך שמונה. שש הראשונות הן השיקולים מפסק הדין Axel Springer:</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קטגוריה</w:t>
            </w:r>
          </w:p>
        </w:tc>
        <w:tc>
          <w:tcPr>
            <w:tcW w:type="dxa" w:w="5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תוכן</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PUBLIC_INTEREST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האם הפרסום תרם לדיון בעניין ציבורי</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STATUS_OF_PERSON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עד כמה האדם מוכר: פוליטיקאי, איש ציבור או אדם פרטי</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PRIOR_CONDUCT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ההתנהגות הקודמת של האדם</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TRUTH_AND_VERIFICATION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בסיס עובדתי, בדיקת עובדות, תום לב, שיפוט ערכי מול טענה עובדתית</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CONTENT_AND_FORM</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תוכן, צורה וטון: הגזמה, פרובוקציה, עלבונות, סאטירה</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SEVERITY_OF_SANCTION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חומרת הסנקציה, פלילי מול אזרחי, אפקט מצנן</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LAWFULNESS_AND_AIM</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האם הפגיעה נקבעה בחוק ושירתה מטרה לגיטימית</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OTHER</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כל מה שלא מתאים לקטגוריות האחרות</w:t>
            </w:r>
          </w:p>
        </w:tc>
      </w:tr>
    </w:tbl>
    <w:p>
      <w:pPr>
        <w:bidi/>
        <w:spacing w:after="120"/>
      </w:pPr>
    </w:p>
    <w:p>
      <w:pPr>
        <w:bidi/>
        <w:spacing w:after="120"/>
      </w:pPr>
      <w:r>
        <w:rPr>
          <w:b/>
          <w:bCs/>
          <w:rtl/>
        </w:rPr>
        <w:t xml:space="preserve">חוזק:</w:t>
      </w:r>
      <w:r>
        <w:rPr>
          <w:rtl/>
        </w:rPr>
        <w:t xml:space="preserve"> בין 0 ל-1. בסולם: 0 = לא רלוונטי או לא מבוסס, 0.5 = רלוונטי אבל שנוי במחלוקת, 1 = משכנע. ההוראה לשופט היא להעריך כל טיעון לגופו, בלי להתחשב בצד שצפוי לנצח.</w:t>
      </w:r>
    </w:p>
    <w:p>
      <w:pPr>
        <w:bidi/>
        <w:spacing w:after="120"/>
      </w:pPr>
      <w:r>
        <w:rPr>
          <w:b/>
          <w:bCs/>
          <w:rtl/>
        </w:rPr>
        <w:t xml:space="preserve">נימוק:</w:t>
      </w:r>
      <w:r>
        <w:rPr>
          <w:rtl/>
        </w:rPr>
        <w:t xml:space="preserve"> משפט או שניים שמסבירים את הקטגוריה ואת החוזק.</w:t>
      </w:r>
    </w:p>
    <w:p>
      <w:pPr>
        <w:pStyle w:val="Heading2"/>
        <w:bidi/>
      </w:pPr>
      <w:r>
        <w:rPr>
          <w:rtl/>
        </w:rPr>
        <w:t xml:space="preserve">4.3 תוצאות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50"/>
        <w:gridCol w:w="1350"/>
        <w:gridCol w:w="1513"/>
        <w:gridCol w:w="1713"/>
      </w:tblGrid>
      <w:tr>
        <w:trPr>
          <w:tblHeader/>
        </w:trPr>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תיק</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טיעונים (מבקש / ממשלה)</w:t>
            </w:r>
          </w:p>
        </w:tc>
        <w:tc>
          <w:tcPr>
            <w:tcW w:type="dxa" w:w="12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ציון violation</w:t>
            </w:r>
          </w:p>
        </w:tc>
        <w:tc>
          <w:tcPr>
            <w:tcW w:type="dxa" w:w="13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ציון no violation</w:t>
            </w:r>
          </w:p>
        </w:tc>
        <w:tc>
          <w:tcPr>
            <w:tcW w:type="dxa" w:w="15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חיזוי</w:t>
            </w:r>
          </w:p>
        </w:tc>
        <w:tc>
          <w:tcPr>
            <w:tcW w:type="dxa" w:w="17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pPr>
            <w:r>
              <w:rPr>
                <w:b/>
                <w:bCs/>
                <w:sz w:val="20"/>
                <w:szCs w:val="20"/>
                <w:rtl/>
              </w:rPr>
              <w:t xml:space="preserve">בפועל</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Ziembiński</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9 / 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4.55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2.10</w:t>
            </w: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violation</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violation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Ristamäki</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9 / 13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5.95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4.55</w:t>
            </w: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violation</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violation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Novaya Gazeta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6 / 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3.95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2.35</w:t>
            </w: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violation</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violation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Tammer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12 / 13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4.05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8.25</w:t>
            </w: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no violation</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no violation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Ivanova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10 / 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3.60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4.10</w:t>
            </w: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no violation</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sz w:val="20"/>
                <w:szCs w:val="20"/>
                <w:rtl/>
              </w:rPr>
              <w:t xml:space="preserve">no violation ✓</w:t>
            </w:r>
          </w:p>
        </w:tc>
      </w:tr>
    </w:tbl>
    <w:p>
      <w:pPr>
        <w:bidi/>
        <w:spacing w:after="120"/>
      </w:pPr>
    </w:p>
    <w:p>
      <w:pPr>
        <w:pStyle w:val="Heading2"/>
        <w:bidi/>
      </w:pPr>
      <w:r>
        <w:rPr>
          <w:rtl/>
        </w:rPr>
        <w:t xml:space="preserve">4.4 תובנות</w:t>
      </w:r>
    </w:p>
    <w:p>
      <w:pPr>
        <w:pStyle w:val="ListParagraph"/>
        <w:numPr>
          <w:ilvl w:val="0"/>
          <w:numId w:val="2"/>
        </w:numPr>
        <w:bidi/>
        <w:spacing w:after="60"/>
      </w:pPr>
      <w:r>
        <w:rPr>
          <w:b/>
          <w:bCs/>
          <w:rtl/>
        </w:rPr>
        <w:t xml:space="preserve">TRUTH_AND_VERIFICATION היא הקטגוריה הדומיננטית.</w:t>
      </w:r>
      <w:r>
        <w:rPr>
          <w:rtl/>
        </w:rPr>
        <w:t xml:space="preserve"> היא הכריעה שלושה תיקים מתוך חמישה (Ristamäki, Novaya Gazeta ו-Ivanova), לשני הכיוונים.</w:t>
      </w:r>
    </w:p>
    <w:p>
      <w:pPr>
        <w:pStyle w:val="ListParagraph"/>
        <w:numPr>
          <w:ilvl w:val="0"/>
          <w:numId w:val="2"/>
        </w:numPr>
        <w:bidi/>
        <w:spacing w:after="60"/>
      </w:pPr>
      <w:r>
        <w:rPr>
          <w:b/>
          <w:bCs/>
          <w:rtl/>
        </w:rPr>
        <w:t xml:space="preserve">מספר הטיעונים לא קובע.</w:t>
      </w:r>
      <w:r>
        <w:rPr>
          <w:rtl/>
        </w:rPr>
        <w:t xml:space="preserve"> ב-Ristamäki לממשלה היו 13 טיעונים ולמבקשים 9, והמבקשים ניצחו.</w:t>
      </w:r>
    </w:p>
    <w:p>
      <w:pPr>
        <w:pStyle w:val="ListParagraph"/>
        <w:numPr>
          <w:ilvl w:val="0"/>
          <w:numId w:val="2"/>
        </w:numPr>
        <w:bidi/>
        <w:spacing w:after="60"/>
      </w:pPr>
      <w:r>
        <w:rPr>
          <w:b/>
          <w:bCs/>
          <w:rtl/>
        </w:rPr>
        <w:t xml:space="preserve">CONTENT_AND_FORM עובדת לשני הכיוונים.</w:t>
      </w:r>
      <w:r>
        <w:rPr>
          <w:rtl/>
        </w:rPr>
        <w:t xml:space="preserve"> ב-Ziembiński היא תמכה במבקש, כי הסגנון הוא סאטירי. ב-Tammer היא תמכה בממשלה, כי היו שם עלבונות אישיים.</w:t>
      </w:r>
    </w:p>
    <w:p>
      <w:pPr>
        <w:pStyle w:val="ListParagraph"/>
        <w:numPr>
          <w:ilvl w:val="0"/>
          <w:numId w:val="2"/>
        </w:numPr>
        <w:bidi/>
        <w:spacing w:after="60"/>
      </w:pPr>
      <w:r>
        <w:rPr>
          <w:b/>
          <w:bCs/>
          <w:rtl/>
        </w:rPr>
        <w:t xml:space="preserve">Ivanova הוא התיק השביר ביותר,</w:t>
      </w:r>
      <w:r>
        <w:rPr>
          <w:rtl/>
        </w:rPr>
        <w:t xml:space="preserve"> עם פער של 0.5 בלבד. הסרה של כל טיעון ממשלתי בחוזק מעל 0.5 הופכת את ההכרעה. גם הורדת המשקל של TRUTH_AND_VERIFICATION מתחת ל-0.41 הופכת אותה.</w:t>
      </w:r>
    </w:p>
    <w:p>
      <w:pPr>
        <w:pStyle w:val="ListParagraph"/>
        <w:numPr>
          <w:ilvl w:val="0"/>
          <w:numId w:val="2"/>
        </w:numPr>
        <w:bidi/>
        <w:spacing w:after="60"/>
      </w:pPr>
      <w:r>
        <w:rPr>
          <w:b/>
          <w:bCs/>
          <w:rtl/>
        </w:rPr>
        <w:t xml:space="preserve">יש קטגוריות כמעט ריקות.</w:t>
      </w:r>
      <w:r>
        <w:rPr>
          <w:rtl/>
        </w:rPr>
        <w:t xml:space="preserve"> PRIOR_CONDUCT מופיעה רק ב-Tammer, ו-STATUS_OF_PERSON מופיעה בשלושה תיקים בלבד ובמשקלים קטנים.</w:t>
      </w:r>
    </w:p>
    <w:p>
      <w:pPr>
        <w:pStyle w:val="ListParagraph"/>
        <w:numPr>
          <w:ilvl w:val="0"/>
          <w:numId w:val="2"/>
        </w:numPr>
        <w:bidi/>
        <w:spacing w:after="60"/>
      </w:pPr>
      <w:r>
        <w:rPr>
          <w:b/>
          <w:bCs/>
          <w:rtl/>
        </w:rPr>
        <w:t xml:space="preserve">משקל לא מבוטל נופל ב-OTHER.</w:t>
      </w:r>
      <w:r>
        <w:rPr>
          <w:rtl/>
        </w:rPr>
        <w:t xml:space="preserve"> ב-Tammer הממשלה מקבלת ממנה 1.2. זה מעיד על קטגוריה חסרה או על סיווג רופף.</w:t>
      </w:r>
    </w:p>
    <w:p>
      <w:pPr>
        <w:pStyle w:val="Heading2"/>
        <w:bidi/>
      </w:pPr>
      <w:r>
        <w:rPr>
          <w:rtl/>
        </w:rPr>
        <w:t xml:space="preserve">4.5 מגבלות</w:t>
      </w:r>
    </w:p>
    <w:p>
      <w:pPr>
        <w:pStyle w:val="ListParagraph"/>
        <w:numPr>
          <w:ilvl w:val="0"/>
          <w:numId w:val="2"/>
        </w:numPr>
        <w:bidi/>
        <w:spacing w:after="60"/>
      </w:pPr>
      <w:r>
        <w:rPr>
          <w:b/>
          <w:bCs/>
          <w:rtl/>
        </w:rPr>
        <w:t xml:space="preserve">התוצאה 5 מתוך 5 היא לא הוכחה שהשיטה עובדת.</w:t>
      </w:r>
      <w:r>
        <w:rPr>
          <w:rtl/>
        </w:rPr>
        <w:t xml:space="preserve"> זה מצב בסיס בלי כיול (כל ה-θ שווים ל-1), ויש לו שתי סיבות אפשריות:</w:t>
      </w:r>
    </w:p>
    <w:p>
      <w:pPr>
        <w:pStyle w:val="ListParagraph"/>
        <w:numPr>
          <w:ilvl w:val="1"/>
          <w:numId w:val="2"/>
        </w:numPr>
        <w:bidi/>
        <w:spacing w:after="60"/>
      </w:pPr>
      <w:r>
        <w:rPr>
          <w:rtl/>
        </w:rPr>
        <w:t xml:space="preserve">השופט, שהוא Claude, כנראה מכיר את פסקי הדין המפורסמים האלה מנתוני האימון.</w:t>
      </w:r>
    </w:p>
    <w:p>
      <w:pPr>
        <w:pStyle w:val="ListParagraph"/>
        <w:numPr>
          <w:ilvl w:val="1"/>
          <w:numId w:val="2"/>
        </w:numPr>
        <w:bidi/>
        <w:spacing w:after="60"/>
      </w:pPr>
      <w:r>
        <w:rPr>
          <w:rtl/>
        </w:rPr>
        <w:t xml:space="preserve">הטענות לקוחות מתוך פסק הדין עצמו, ולפעמים הניסוח שלהן רומז על התוצאה.</w:t>
      </w:r>
    </w:p>
    <w:p>
      <w:pPr>
        <w:pStyle w:val="ListParagraph"/>
        <w:numPr>
          <w:ilvl w:val="0"/>
          <w:numId w:val="2"/>
        </w:numPr>
        <w:bidi/>
        <w:spacing w:after="60"/>
      </w:pPr>
      <w:r>
        <w:rPr>
          <w:b/>
          <w:bCs/>
          <w:rtl/>
        </w:rPr>
        <w:t xml:space="preserve">חמישה תיקים לא מספיקים לכיול.</w:t>
      </w:r>
      <w:r>
        <w:rPr>
          <w:rtl/>
        </w:rPr>
        <w:t xml:space="preserve"> יש שמונה קטגוריות, כלומר שמונה פרמטרים, מול חמש דוגמאות.</w:t>
      </w:r>
    </w:p>
    <w:p>
      <w:pPr>
        <w:pStyle w:val="Heading2"/>
        <w:bidi/>
      </w:pPr>
      <w:r>
        <w:rPr>
          <w:rtl/>
        </w:rPr>
        <w:t xml:space="preserve">4.6 מה הושג בשלב א'</w:t>
      </w:r>
    </w:p>
    <w:p>
      <w:pPr>
        <w:pStyle w:val="ListParagraph"/>
        <w:numPr>
          <w:ilvl w:val="0"/>
          <w:numId w:val="2"/>
        </w:numPr>
        <w:bidi/>
        <w:spacing w:after="60"/>
      </w:pPr>
      <w:r>
        <w:rPr>
          <w:b/>
          <w:bCs/>
          <w:rtl/>
        </w:rPr>
        <w:t xml:space="preserve">מוכן:</w:t>
      </w:r>
      <w:r>
        <w:rPr>
          <w:rtl/>
        </w:rPr>
        <w:t xml:space="preserve"> צינור מלא מקצה לקצה: הורדה, חילוץ, הכנסת טיעונים לגרף על ידי הסוכנים, שקילה והכרעה על ידי השופט, ויזואליזציה.</w:t>
      </w:r>
    </w:p>
    <w:p>
      <w:pPr>
        <w:pStyle w:val="ListParagraph"/>
        <w:numPr>
          <w:ilvl w:val="0"/>
          <w:numId w:val="2"/>
        </w:numPr>
        <w:bidi/>
        <w:spacing w:after="60"/>
      </w:pPr>
      <w:r>
        <w:rPr>
          <w:b/>
          <w:bCs/>
          <w:rtl/>
        </w:rPr>
        <w:t xml:space="preserve">כוסה בטסטים:</w:t>
      </w:r>
      <w:r>
        <w:rPr>
          <w:rtl/>
        </w:rPr>
        <w:t xml:space="preserve"> הבדיקות האוטומטיות מוודאות שכל סוכן מכניס טיעונים רק לצד שלו ובלי משקל, ושאי אפשר להכריע לפני שהשופט שקל את כל הקשתות.</w:t>
      </w:r>
    </w:p>
    <w:p>
      <w:pPr>
        <w:pStyle w:val="ListParagraph"/>
        <w:numPr>
          <w:ilvl w:val="0"/>
          <w:numId w:val="2"/>
        </w:numPr>
        <w:bidi/>
        <w:spacing w:after="60"/>
      </w:pPr>
      <w:r>
        <w:rPr>
          <w:b/>
          <w:bCs/>
          <w:rtl/>
        </w:rPr>
        <w:t xml:space="preserve">חסר:</w:t>
      </w:r>
      <w:r>
        <w:rPr>
          <w:rtl/>
        </w:rPr>
        <w:t xml:space="preserve"> עדיין לא הורצו הסוכנים כמייצרי טיעונים, כלומר הסימולציה.</w:t>
      </w:r>
    </w:p>
    <w:p>
      <w:pPr>
        <w:pStyle w:val="Heading1"/>
        <w:bidi/>
      </w:pPr>
      <w:r>
        <w:rPr>
          <w:rtl/>
        </w:rPr>
        <w:t xml:space="preserve">5. תוכנית: סימולציה אדברסרית (השלמת שלב א')</w:t>
      </w:r>
    </w:p>
    <w:p>
      <w:pPr>
        <w:pStyle w:val="Heading2"/>
        <w:bidi/>
      </w:pPr>
      <w:r>
        <w:rPr>
          <w:rtl/>
        </w:rPr>
        <w:t xml:space="preserve">5.1 המטרה</w:t>
      </w:r>
    </w:p>
    <w:p>
      <w:pPr>
        <w:bidi/>
        <w:spacing w:after="120"/>
      </w:pPr>
      <w:r>
        <w:rPr>
          <w:rtl/>
        </w:rPr>
        <w:t xml:space="preserve">במקום להכניס לגרף את הטענות מפסק הדין, הסוכנים מייצרים טיעונים בעצמם, מתוך עובדות התיק בלבד, בדיון שמתנהל בסבבים. אחר כך משווים את הגרף מהסימולציה לגרף מהטענות האמיתיות.</w:t>
      </w:r>
    </w:p>
    <w:p>
      <w:pPr>
        <w:pStyle w:val="Heading2"/>
        <w:bidi/>
      </w:pPr>
      <w:r>
        <w:rPr>
          <w:rtl/>
        </w:rPr>
        <w:t xml:space="preserve">5.2 הקלט של הסוכנים</w:t>
      </w:r>
    </w:p>
    <w:p>
      <w:pPr>
        <w:pStyle w:val="ListParagraph"/>
        <w:numPr>
          <w:ilvl w:val="0"/>
          <w:numId w:val="2"/>
        </w:numPr>
        <w:bidi/>
        <w:spacing w:after="60"/>
      </w:pPr>
      <w:r>
        <w:rPr>
          <w:b/>
          <w:bCs/>
          <w:rtl/>
        </w:rPr>
        <w:t xml:space="preserve">העובדות בלבד:</w:t>
      </w:r>
      <w:r>
        <w:rPr>
          <w:rtl/>
        </w:rPr>
        <w:t xml:space="preserve"> התיאור הניטרלי שחולץ בשלב 4.1.</w:t>
      </w:r>
    </w:p>
    <w:p>
      <w:pPr>
        <w:pStyle w:val="ListParagraph"/>
        <w:numPr>
          <w:ilvl w:val="0"/>
          <w:numId w:val="2"/>
        </w:numPr>
        <w:bidi/>
        <w:spacing w:after="60"/>
      </w:pPr>
      <w:r>
        <w:rPr>
          <w:b/>
          <w:bCs/>
          <w:rtl/>
        </w:rPr>
        <w:t xml:space="preserve">מה הסוכנים לא מקבלים:</w:t>
      </w:r>
      <w:r>
        <w:rPr>
          <w:rtl/>
        </w:rPr>
        <w:t xml:space="preserve"> את טענות הצדדים מפסק הדין, את הנימוק של בית הדין האירופי ואת התוצאה.</w:t>
      </w:r>
    </w:p>
    <w:p>
      <w:pPr>
        <w:pStyle w:val="ListParagraph"/>
        <w:numPr>
          <w:ilvl w:val="0"/>
          <w:numId w:val="2"/>
        </w:numPr>
        <w:bidi/>
        <w:spacing w:after="60"/>
      </w:pPr>
      <w:r>
        <w:rPr>
          <w:b/>
          <w:bCs/>
          <w:rtl/>
        </w:rPr>
        <w:t xml:space="preserve">היסטוריית הדיון:</w:t>
      </w:r>
      <w:r>
        <w:rPr>
          <w:rtl/>
        </w:rPr>
        <w:t xml:space="preserve"> כל מה שנטען עד אותו רגע.</w:t>
      </w:r>
    </w:p>
    <w:p>
      <w:pPr>
        <w:pStyle w:val="Heading2"/>
        <w:bidi/>
      </w:pPr>
      <w:r>
        <w:rPr>
          <w:rtl/>
        </w:rPr>
        <w:t xml:space="preserve">5.3 מהלך הדיון</w:t>
      </w:r>
    </w:p>
    <w:p>
      <w:pPr>
        <w:pStyle w:val="ListParagraph"/>
        <w:numPr>
          <w:ilvl w:val="0"/>
          <w:numId w:val="4"/>
        </w:numPr>
        <w:bidi/>
        <w:spacing w:after="60"/>
      </w:pPr>
      <w:r>
        <w:rPr>
          <w:b/>
          <w:bCs/>
          <w:rtl/>
        </w:rPr>
        <w:t xml:space="preserve">פתיחה:</w:t>
      </w:r>
      <w:r>
        <w:rPr>
          <w:rtl/>
        </w:rPr>
        <w:t xml:space="preserve"> סוכן התביעה מציג את הטיעונים העיקריים שלו להפרה.</w:t>
      </w:r>
    </w:p>
    <w:p>
      <w:pPr>
        <w:pStyle w:val="ListParagraph"/>
        <w:numPr>
          <w:ilvl w:val="0"/>
          <w:numId w:val="4"/>
        </w:numPr>
        <w:bidi/>
        <w:spacing w:after="60"/>
      </w:pPr>
      <w:r>
        <w:rPr>
          <w:b/>
          <w:bCs/>
          <w:rtl/>
        </w:rPr>
        <w:t xml:space="preserve">תגובה:</w:t>
      </w:r>
      <w:r>
        <w:rPr>
          <w:rtl/>
        </w:rPr>
        <w:t xml:space="preserve"> סוכן ההגנה רואה את טיעוני התביעה ומציג טיעונים בעד המדינה. הוא יכול לכוון אותם לחולשות בטיעוני התביעה.</w:t>
      </w:r>
    </w:p>
    <w:p>
      <w:pPr>
        <w:pStyle w:val="ListParagraph"/>
        <w:numPr>
          <w:ilvl w:val="0"/>
          <w:numId w:val="4"/>
        </w:numPr>
        <w:bidi/>
        <w:spacing w:after="60"/>
      </w:pPr>
      <w:r>
        <w:rPr>
          <w:b/>
          <w:bCs/>
          <w:rtl/>
        </w:rPr>
        <w:t xml:space="preserve">סבבים נוספים:</w:t>
      </w:r>
      <w:r>
        <w:rPr>
          <w:rtl/>
        </w:rPr>
        <w:t xml:space="preserve"> התביעה וההגנה עונות לסירוגין. ברירת המחדל המוצעת היא 3 סבבים.</w:t>
      </w:r>
    </w:p>
    <w:p>
      <w:pPr>
        <w:pStyle w:val="ListParagraph"/>
        <w:numPr>
          <w:ilvl w:val="0"/>
          <w:numId w:val="4"/>
        </w:numPr>
        <w:bidi/>
        <w:spacing w:after="60"/>
      </w:pPr>
      <w:r>
        <w:rPr>
          <w:b/>
          <w:bCs/>
          <w:rtl/>
        </w:rPr>
        <w:t xml:space="preserve">כללים לכל מהלך:</w:t>
      </w:r>
      <w:r>
        <w:rPr>
          <w:rtl/>
        </w:rPr>
        <w:t xml:space="preserve"> מספר מוגבל של טיעונים חדשים במהלך אחד (למשל עד 3), בלי חזרה על טיעון שכבר נטען, וכל טיעון מנוסח כטענה עצמאית אחת.</w:t>
      </w:r>
    </w:p>
    <w:p>
      <w:pPr>
        <w:pStyle w:val="ListParagraph"/>
        <w:numPr>
          <w:ilvl w:val="0"/>
          <w:numId w:val="4"/>
        </w:numPr>
        <w:bidi/>
        <w:spacing w:after="60"/>
      </w:pPr>
      <w:r>
        <w:rPr>
          <w:b/>
          <w:bCs/>
          <w:rtl/>
        </w:rPr>
        <w:t xml:space="preserve">הכנסה לגרף:</w:t>
      </w:r>
      <w:r>
        <w:rPr>
          <w:rtl/>
        </w:rPr>
        <w:t xml:space="preserve"> כל טיעון נכנס על ידי הסוכן שהעלה אותו, עם קשת תמיכה בלי משקל להחלטה של הצד שלו. מזהים מוצעים: P1, P2... לתביעה ו-D1, D2... להגנה, כדי להבדיל מהטענות האמיתיות (A, G). גם טיעון שעונה לטיעון של הצד השני הוא קשת תמיכה להחלטה של הצד שלו, ולא קשת התקפה.</w:t>
      </w:r>
    </w:p>
    <w:p>
      <w:pPr>
        <w:pStyle w:val="Heading2"/>
        <w:bidi/>
      </w:pPr>
      <w:r>
        <w:rPr>
          <w:rtl/>
        </w:rPr>
        <w:t xml:space="preserve">5.4 תפקיד השופט בסימולציה</w:t>
      </w:r>
    </w:p>
    <w:p>
      <w:pPr>
        <w:pStyle w:val="ListParagraph"/>
        <w:numPr>
          <w:ilvl w:val="0"/>
          <w:numId w:val="2"/>
        </w:numPr>
        <w:bidi/>
        <w:spacing w:after="60"/>
      </w:pPr>
      <w:r>
        <w:rPr>
          <w:b/>
          <w:bCs/>
          <w:rtl/>
        </w:rPr>
        <w:t xml:space="preserve">בלי התערבות בדיון:</w:t>
      </w:r>
      <w:r>
        <w:rPr>
          <w:rtl/>
        </w:rPr>
        <w:t xml:space="preserve"> השופט לא מגיב במהלך הדיון ולא מכניס טיעונים.</w:t>
      </w:r>
    </w:p>
    <w:p>
      <w:pPr>
        <w:pStyle w:val="ListParagraph"/>
        <w:numPr>
          <w:ilvl w:val="0"/>
          <w:numId w:val="2"/>
        </w:numPr>
        <w:bidi/>
        <w:spacing w:after="60"/>
      </w:pPr>
      <w:r>
        <w:rPr>
          <w:b/>
          <w:bCs/>
          <w:rtl/>
        </w:rPr>
        <w:t xml:space="preserve">שקילה ומעקב לאורך הדיון:</w:t>
      </w:r>
      <w:r>
        <w:rPr>
          <w:rtl/>
        </w:rPr>
        <w:t xml:space="preserve"> בסוף כל סבב השופט מסווג ושוקל את הטיעונים החדשים, ומחשב את ההכרעה הנוכחית. ההערכות של טיעונים קודמים נשמרות. כך מתקבל ציר זמן של מאזן הכוחות, וזה הבסיס לניתוח נקודות מפנה.</w:t>
      </w:r>
    </w:p>
    <w:p>
      <w:pPr>
        <w:pStyle w:val="ListParagraph"/>
        <w:numPr>
          <w:ilvl w:val="0"/>
          <w:numId w:val="2"/>
        </w:numPr>
        <w:bidi/>
        <w:spacing w:after="60"/>
      </w:pPr>
      <w:r>
        <w:rPr>
          <w:b/>
          <w:bCs/>
          <w:rtl/>
        </w:rPr>
        <w:t xml:space="preserve">אותה שיטה כמו במצב א':</w:t>
      </w:r>
      <w:r>
        <w:rPr>
          <w:rtl/>
        </w:rPr>
        <w:t xml:space="preserve"> אותן קטגוריות, אותו סולם חוזק ואותה הכרעה, כדי שההשוואה תהיה הוגנת.</w:t>
      </w:r>
    </w:p>
    <w:p>
      <w:pPr>
        <w:pStyle w:val="Heading2"/>
        <w:bidi/>
      </w:pPr>
      <w:r>
        <w:rPr>
          <w:rtl/>
        </w:rPr>
        <w:t xml:space="preserve">5.5 תוצרים</w:t>
      </w:r>
    </w:p>
    <w:p>
      <w:pPr>
        <w:pStyle w:val="ListParagraph"/>
        <w:numPr>
          <w:ilvl w:val="0"/>
          <w:numId w:val="2"/>
        </w:numPr>
        <w:bidi/>
        <w:spacing w:after="60"/>
      </w:pPr>
      <w:r>
        <w:rPr>
          <w:b/>
          <w:bCs/>
          <w:rtl/>
        </w:rPr>
        <w:t xml:space="preserve">תמליל מלא של הדיון:</w:t>
      </w:r>
      <w:r>
        <w:rPr>
          <w:rtl/>
        </w:rPr>
        <w:t xml:space="preserve"> כל מהלך, מי העלה אותו ובאיזה סבב.</w:t>
      </w:r>
    </w:p>
    <w:p>
      <w:pPr>
        <w:pStyle w:val="ListParagraph"/>
        <w:numPr>
          <w:ilvl w:val="0"/>
          <w:numId w:val="2"/>
        </w:numPr>
        <w:bidi/>
        <w:spacing w:after="60"/>
      </w:pPr>
      <w:r>
        <w:rPr>
          <w:b/>
          <w:bCs/>
          <w:rtl/>
        </w:rPr>
        <w:t xml:space="preserve">הגרף הסופי:</w:t>
      </w:r>
      <w:r>
        <w:rPr>
          <w:rtl/>
        </w:rPr>
        <w:t xml:space="preserve"> בפורמט JSON וכדף HTML, באותה תצוגה של הגרפים הקיימים.</w:t>
      </w:r>
    </w:p>
    <w:p>
      <w:pPr>
        <w:pStyle w:val="ListParagraph"/>
        <w:numPr>
          <w:ilvl w:val="0"/>
          <w:numId w:val="2"/>
        </w:numPr>
        <w:bidi/>
        <w:spacing w:after="60"/>
      </w:pPr>
      <w:r>
        <w:rPr>
          <w:b/>
          <w:bCs/>
          <w:rtl/>
        </w:rPr>
        <w:t xml:space="preserve">ציר זמן:</w:t>
      </w:r>
      <w:r>
        <w:rPr>
          <w:rtl/>
        </w:rPr>
        <w:t xml:space="preserve"> ההכרעה והציונים אחרי כל סבב.</w:t>
      </w:r>
    </w:p>
    <w:p>
      <w:pPr>
        <w:pStyle w:val="ListParagraph"/>
        <w:numPr>
          <w:ilvl w:val="0"/>
          <w:numId w:val="2"/>
        </w:numPr>
        <w:bidi/>
        <w:spacing w:after="60"/>
      </w:pPr>
      <w:r>
        <w:rPr>
          <w:b/>
          <w:bCs/>
          <w:rtl/>
        </w:rPr>
        <w:t xml:space="preserve">שמירה:</w:t>
      </w:r>
      <w:r>
        <w:rPr>
          <w:rtl/>
        </w:rPr>
        <w:t xml:space="preserve"> הכול נשמר בקבצים, כדי שאפשר יהיה לנתח בלי להריץ שוב.</w:t>
      </w:r>
    </w:p>
    <w:p>
      <w:pPr>
        <w:pStyle w:val="Heading2"/>
        <w:bidi/>
      </w:pPr>
      <w:r>
        <w:rPr>
          <w:rtl/>
        </w:rPr>
        <w:t xml:space="preserve">5.6 השוואה לגרף מהטענות האמיתיות</w:t>
      </w:r>
    </w:p>
    <w:p>
      <w:pPr>
        <w:pStyle w:val="ListParagraph"/>
        <w:numPr>
          <w:ilvl w:val="0"/>
          <w:numId w:val="2"/>
        </w:numPr>
        <w:bidi/>
        <w:spacing w:after="60"/>
      </w:pPr>
      <w:r>
        <w:rPr>
          <w:b/>
          <w:bCs/>
          <w:rtl/>
        </w:rPr>
        <w:t xml:space="preserve">הכרעה:</w:t>
      </w:r>
      <w:r>
        <w:rPr>
          <w:rtl/>
        </w:rPr>
        <w:t xml:space="preserve"> האם הסימולציה מגיעה לאותה הכרעה כמו בית הדין?</w:t>
      </w:r>
    </w:p>
    <w:p>
      <w:pPr>
        <w:pStyle w:val="ListParagraph"/>
        <w:numPr>
          <w:ilvl w:val="0"/>
          <w:numId w:val="2"/>
        </w:numPr>
        <w:bidi/>
        <w:spacing w:after="60"/>
      </w:pPr>
      <w:r>
        <w:rPr>
          <w:b/>
          <w:bCs/>
          <w:rtl/>
        </w:rPr>
        <w:t xml:space="preserve">כיסוי:</w:t>
      </w:r>
      <w:r>
        <w:rPr>
          <w:rtl/>
        </w:rPr>
        <w:t xml:space="preserve"> כמה מהטענות האמיתיות של כל צד הסוכנים העלו גם הם?</w:t>
      </w:r>
    </w:p>
    <w:p>
      <w:pPr>
        <w:pStyle w:val="ListParagraph"/>
        <w:numPr>
          <w:ilvl w:val="0"/>
          <w:numId w:val="2"/>
        </w:numPr>
        <w:bidi/>
        <w:spacing w:after="60"/>
      </w:pPr>
      <w:r>
        <w:rPr>
          <w:b/>
          <w:bCs/>
          <w:rtl/>
        </w:rPr>
        <w:t xml:space="preserve">טיעונים חדשים:</w:t>
      </w:r>
      <w:r>
        <w:rPr>
          <w:rtl/>
        </w:rPr>
        <w:t xml:space="preserve"> אילו טיעונים הסוכנים העלו שלא הופיעו בפסק הדין?</w:t>
      </w:r>
    </w:p>
    <w:p>
      <w:pPr>
        <w:pStyle w:val="ListParagraph"/>
        <w:numPr>
          <w:ilvl w:val="0"/>
          <w:numId w:val="2"/>
        </w:numPr>
        <w:bidi/>
        <w:spacing w:after="60"/>
      </w:pPr>
      <w:r>
        <w:rPr>
          <w:b/>
          <w:bCs/>
          <w:rtl/>
        </w:rPr>
        <w:t xml:space="preserve">קטגוריות:</w:t>
      </w:r>
      <w:r>
        <w:rPr>
          <w:rtl/>
        </w:rPr>
        <w:t xml:space="preserve"> האם התפלגות הקטגוריות דומה?</w:t>
      </w:r>
    </w:p>
    <w:p>
      <w:pPr>
        <w:pStyle w:val="ListParagraph"/>
        <w:numPr>
          <w:ilvl w:val="0"/>
          <w:numId w:val="2"/>
        </w:numPr>
        <w:bidi/>
        <w:spacing w:after="60"/>
      </w:pPr>
      <w:r>
        <w:rPr>
          <w:b/>
          <w:bCs/>
          <w:rtl/>
        </w:rPr>
        <w:t xml:space="preserve">פער:</w:t>
      </w:r>
      <w:r>
        <w:rPr>
          <w:rtl/>
        </w:rPr>
        <w:t xml:space="preserve"> האם הפער בין הציונים דומה, והאם התיקים השבירים (כמו Ivanova) נשארים שבירים?</w:t>
      </w:r>
    </w:p>
    <w:p>
      <w:pPr>
        <w:pStyle w:val="ListParagraph"/>
        <w:numPr>
          <w:ilvl w:val="0"/>
          <w:numId w:val="2"/>
        </w:numPr>
        <w:bidi/>
        <w:spacing w:after="60"/>
      </w:pPr>
      <w:r>
        <w:rPr>
          <w:b/>
          <w:bCs/>
          <w:rtl/>
        </w:rPr>
        <w:t xml:space="preserve">נקודות מפנה:</w:t>
      </w:r>
      <w:r>
        <w:rPr>
          <w:rtl/>
        </w:rPr>
        <w:t xml:space="preserve"> באיזה סבב ההכרעה התייצבה או התהפכה?</w:t>
      </w:r>
    </w:p>
    <w:p>
      <w:pPr>
        <w:pStyle w:val="Heading2"/>
        <w:bidi/>
      </w:pPr>
      <w:r>
        <w:rPr>
          <w:rtl/>
        </w:rPr>
        <w:t xml:space="preserve">5.7 סיכונים</w:t>
      </w:r>
    </w:p>
    <w:p>
      <w:pPr>
        <w:pStyle w:val="ListParagraph"/>
        <w:numPr>
          <w:ilvl w:val="0"/>
          <w:numId w:val="2"/>
        </w:numPr>
        <w:bidi/>
        <w:spacing w:after="60"/>
      </w:pPr>
      <w:r>
        <w:rPr>
          <w:b/>
          <w:bCs/>
          <w:rtl/>
        </w:rPr>
        <w:t xml:space="preserve">השופט והסוכנים עלולים להכיר את פסקי הדין.</w:t>
      </w:r>
      <w:r>
        <w:rPr>
          <w:rtl/>
        </w:rPr>
        <w:t xml:space="preserve"> נורה להם לנמק רק מתוך העובדות, אבל אי אפשר להבטיח את זה. ההשוואה בין הסימולציה לטענות האמיתיות תעזור לזהות את זה.</w:t>
      </w:r>
    </w:p>
    <w:p>
      <w:pPr>
        <w:pStyle w:val="ListParagraph"/>
        <w:numPr>
          <w:ilvl w:val="0"/>
          <w:numId w:val="2"/>
        </w:numPr>
        <w:bidi/>
        <w:spacing w:after="60"/>
      </w:pPr>
      <w:r>
        <w:rPr>
          <w:b/>
          <w:bCs/>
          <w:rtl/>
        </w:rPr>
        <w:t xml:space="preserve">טיעונים כפולים או כלליים מדי:</w:t>
      </w:r>
      <w:r>
        <w:rPr>
          <w:rtl/>
        </w:rPr>
        <w:t xml:space="preserve"> ההגבלה על מספר הטיעונים במהלך והאיסור על חזרה אמורים לצמצם את זה.</w:t>
      </w:r>
    </w:p>
    <w:p>
      <w:pPr>
        <w:pStyle w:val="ListParagraph"/>
        <w:numPr>
          <w:ilvl w:val="0"/>
          <w:numId w:val="2"/>
        </w:numPr>
        <w:bidi/>
        <w:spacing w:after="60"/>
      </w:pPr>
      <w:r>
        <w:rPr>
          <w:b/>
          <w:bCs/>
          <w:rtl/>
        </w:rPr>
        <w:t xml:space="preserve">עלות:</w:t>
      </w:r>
      <w:r>
        <w:rPr>
          <w:rtl/>
        </w:rPr>
        <w:t xml:space="preserve"> כל מהלך של סוכן וכל שקילה של השופט הם קריאה ל-API. בשלושה סבבים, זה בערך 9 קריאות לתיק.</w:t>
      </w:r>
    </w:p>
    <w:p>
      <w:pPr>
        <w:pStyle w:val="Heading2"/>
        <w:bidi/>
      </w:pPr>
      <w:r>
        <w:rPr>
          <w:rtl/>
        </w:rPr>
        <w:t xml:space="preserve">5.8 החלטות פתוחות</w:t>
      </w:r>
    </w:p>
    <w:p>
      <w:pPr>
        <w:pStyle w:val="ListParagraph"/>
        <w:numPr>
          <w:ilvl w:val="0"/>
          <w:numId w:val="5"/>
        </w:numPr>
        <w:bidi/>
        <w:spacing w:after="60"/>
      </w:pPr>
      <w:r>
        <w:rPr>
          <w:rtl/>
        </w:rPr>
        <w:t xml:space="preserve">מספר הסבבים: 3, או יותר?</w:t>
      </w:r>
    </w:p>
    <w:p>
      <w:pPr>
        <w:pStyle w:val="ListParagraph"/>
        <w:numPr>
          <w:ilvl w:val="0"/>
          <w:numId w:val="5"/>
        </w:numPr>
        <w:bidi/>
        <w:spacing w:after="60"/>
      </w:pPr>
      <w:r>
        <w:rPr>
          <w:rtl/>
        </w:rPr>
        <w:t xml:space="preserve">מספר הטיעונים המקסימלי בכל מהלך.</w:t>
      </w:r>
    </w:p>
    <w:p>
      <w:pPr>
        <w:pStyle w:val="ListParagraph"/>
        <w:numPr>
          <w:ilvl w:val="0"/>
          <w:numId w:val="5"/>
        </w:numPr>
        <w:bidi/>
        <w:spacing w:after="60"/>
      </w:pPr>
      <w:r>
        <w:rPr>
          <w:rtl/>
        </w:rPr>
        <w:t xml:space="preserve">האם השופט שוקל אחרי כל סבב (מאפשר ניתוח נקודות מפנה, אבל עולה יותר) או רק בסוף?</w:t>
      </w:r>
    </w:p>
    <w:p>
      <w:pPr>
        <w:pStyle w:val="ListParagraph"/>
        <w:numPr>
          <w:ilvl w:val="0"/>
          <w:numId w:val="5"/>
        </w:numPr>
        <w:bidi/>
        <w:spacing w:after="60"/>
      </w:pPr>
      <w:r>
        <w:rPr>
          <w:rtl/>
        </w:rPr>
        <w:t xml:space="preserve">האם הסוכנים רואים גם את הנימוקים של בתי המשפט המקומיים? הם חלק מהעובדות כרגע.</w:t>
      </w:r>
    </w:p>
    <w:p>
      <w:pPr>
        <w:pStyle w:val="Heading1"/>
        <w:bidi/>
      </w:pPr>
      <w:r>
        <w:rPr>
          <w:rtl/>
        </w:rPr>
        <w:t xml:space="preserve">6. אחרי הסימולציה: שלב ב' (כיול)</w:t>
      </w:r>
    </w:p>
    <w:p>
      <w:pPr>
        <w:pStyle w:val="ListParagraph"/>
        <w:numPr>
          <w:ilvl w:val="0"/>
          <w:numId w:val="2"/>
        </w:numPr>
        <w:bidi/>
        <w:spacing w:after="60"/>
      </w:pPr>
      <w:r>
        <w:rPr>
          <w:b/>
          <w:bCs/>
          <w:rtl/>
        </w:rPr>
        <w:t xml:space="preserve">הרחבת המאגר</w:t>
      </w:r>
      <w:r>
        <w:rPr>
          <w:rtl/>
        </w:rPr>
        <w:t xml:space="preserve"> ל-20–30 תיקים לפי סעיף 10, עם איזון סביר בין violation ל-no violation.</w:t>
      </w:r>
    </w:p>
    <w:p>
      <w:pPr>
        <w:pStyle w:val="ListParagraph"/>
        <w:numPr>
          <w:ilvl w:val="0"/>
          <w:numId w:val="2"/>
        </w:numPr>
        <w:bidi/>
        <w:spacing w:after="60"/>
      </w:pPr>
      <w:r>
        <w:rPr>
          <w:b/>
          <w:bCs/>
          <w:rtl/>
        </w:rPr>
        <w:t xml:space="preserve">מימוש `WeightCalibrator`</w:t>
      </w:r>
      <w:r>
        <w:rPr>
          <w:rtl/>
        </w:rPr>
        <w:t xml:space="preserve"> כתוכנית לינארית:</w:t>
      </w:r>
    </w:p>
    <w:p>
      <w:pPr>
        <w:pStyle w:val="ListParagraph"/>
        <w:numPr>
          <w:ilvl w:val="1"/>
          <w:numId w:val="2"/>
        </w:numPr>
        <w:bidi/>
        <w:spacing w:after="60"/>
      </w:pPr>
      <w:r>
        <w:rPr>
          <w:rtl/>
        </w:rPr>
        <w:t xml:space="preserve">מוצאים θ לכל קטגוריה, כך שבכל תיק הצד שניצח בפועל יקבל ציון גבוה יותר, בפער (margin) מקסימלי.</w:t>
      </w:r>
    </w:p>
    <w:p>
      <w:pPr>
        <w:pStyle w:val="ListParagraph"/>
        <w:numPr>
          <w:ilvl w:val="1"/>
          <w:numId w:val="2"/>
        </w:numPr>
        <w:bidi/>
        <w:spacing w:after="60"/>
      </w:pPr>
      <w:r>
        <w:rPr>
          <w:rtl/>
        </w:rPr>
        <w:t xml:space="preserve">θ ≥ 0, עם נרמול.</w:t>
      </w:r>
    </w:p>
    <w:p>
      <w:pPr>
        <w:pStyle w:val="ListParagraph"/>
        <w:numPr>
          <w:ilvl w:val="0"/>
          <w:numId w:val="2"/>
        </w:numPr>
        <w:bidi/>
        <w:spacing w:after="60"/>
      </w:pPr>
      <w:r>
        <w:rPr>
          <w:b/>
          <w:bCs/>
          <w:rtl/>
        </w:rPr>
        <w:t xml:space="preserve">בדיקה ב-leave-one-out:</w:t>
      </w:r>
      <w:r>
        <w:rPr>
          <w:rtl/>
        </w:rPr>
        <w:t xml:space="preserve"> מכיילים על כל התיקים חוץ מאחד וחוזים את התיק שנשאר בחוץ. זו הדרך לראות אם המודל באמת למד.</w:t>
      </w:r>
    </w:p>
    <w:p>
      <w:pPr>
        <w:pStyle w:val="ListParagraph"/>
        <w:numPr>
          <w:ilvl w:val="0"/>
          <w:numId w:val="2"/>
        </w:numPr>
        <w:bidi/>
        <w:spacing w:after="60"/>
      </w:pPr>
      <w:r>
        <w:rPr>
          <w:b/>
          <w:bCs/>
          <w:rtl/>
        </w:rPr>
        <w:t xml:space="preserve">ניתוח נקודות מפנה</w:t>
      </w:r>
      <w:r>
        <w:rPr>
          <w:rtl/>
        </w:rPr>
        <w:t xml:space="preserve"> עם ה-θ המכוילים.</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qFormat/>
    <w:pPr>
      <w:bidi/>
      <w:spacing w:after="60"/>
    </w:pPr>
    <w:rPr>
      <w:rFonts w:ascii="Arial" w:cs="Arial" w:eastAsia="Arial" w:hAnsi="Arial"/>
      <w:b/>
      <w:bCs/>
      <w:color w:val="1F3864"/>
      <w:sz w:val="40"/>
      <w:szCs w:val="40"/>
    </w:rPr>
  </w:style>
  <w:style w:type="paragraph" w:styleId="Heading1">
    <w:name w:val="Heading 1"/>
    <w:basedOn w:val="Normal"/>
    <w:next w:val="Normal"/>
    <w:qFormat/>
    <w:pPr>
      <w:bidi/>
      <w:spacing w:after="120" w:before="280"/>
    </w:pPr>
    <w:rPr>
      <w:rFonts w:ascii="Arial" w:cs="Arial" w:eastAsia="Arial" w:hAnsi="Arial"/>
      <w:b/>
      <w:bCs/>
      <w:color w:val="1F3864"/>
      <w:sz w:val="32"/>
      <w:szCs w:val="32"/>
    </w:rPr>
  </w:style>
  <w:style w:type="paragraph" w:styleId="Heading2">
    <w:name w:val="Heading 2"/>
    <w:basedOn w:val="Normal"/>
    <w:next w:val="Normal"/>
    <w:qFormat/>
    <w:pPr>
      <w:bidi/>
      <w:spacing w:after="120" w:before="280"/>
    </w:pPr>
    <w:rPr>
      <w:rFonts w:ascii="Arial" w:cs="Arial" w:eastAsia="Arial" w:hAnsi="Arial"/>
      <w:b/>
      <w:bCs/>
      <w:color w:val="2E5597"/>
      <w:sz w:val="26"/>
      <w:szCs w:val="26"/>
    </w:rPr>
  </w:style>
  <w:style w:type="paragraph" w:styleId="Heading3">
    <w:name w:val="Heading 3"/>
    <w:basedOn w:val="Normal"/>
    <w:next w:val="Normal"/>
    <w:qFormat/>
    <w:pPr>
      <w:bidi/>
      <w:spacing w:after="120" w:before="280"/>
    </w:pPr>
    <w:rPr>
      <w:rFonts w:ascii="Arial" w:cs="Arial" w:eastAsia="Arial" w:hAnsi="Arial"/>
      <w:b/>
      <w:bCs/>
      <w:color w:val="2E559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סיכום שלב א' ותוכנית הסימולציה</dc:title>
  <dc:creator>LegalBAF</dc:creator>
  <cp:lastModifiedBy>Un-named</cp:lastModifiedBy>
  <cp:revision>1</cp:revision>
  <dcterms:created xsi:type="dcterms:W3CDTF">2026-10-26T12:18:19.515Z</dcterms:created>
  <dcterms:modified xsi:type="dcterms:W3CDTF">2026-10-26T12:18:19.516Z</dcterms:modified>
</cp:coreProperties>
</file>

<file path=docProps/custom.xml><?xml version="1.0" encoding="utf-8"?>
<Properties xmlns="http://schemas.openxmlformats.org/officeDocument/2006/custom-properties" xmlns:vt="http://schemas.openxmlformats.org/officeDocument/2006/docPropsVTypes"/>
</file>