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4E78"/>
          <w:sz w:val="56"/>
          <w:szCs w:val="56"/>
        </w:rPr>
        <w:t xml:space="preserve">O Apocalipse do Delivery</w:t>
      </w:r>
    </w:p>
    <w:p>
      <w:pPr>
        <w:spacing w:after="480"/>
        <w:jc w:val="center"/>
      </w:pPr>
      <w:r>
        <w:rPr>
          <w:color w:val="404040"/>
          <w:sz w:val="32"/>
          <w:szCs w:val="32"/>
        </w:rPr>
        <w:t xml:space="preserve">Microsserviço de Checkout — EntregasJá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FASE 2 — Redesenho com TDD, BDD e Padrões de Projeto</w:t>
      </w:r>
    </w:p>
    <w:p>
      <w:pPr>
        <w:spacing w:after="1200"/>
        <w:jc w:val="center"/>
      </w:pPr>
      <w:r>
        <w:rPr>
          <w:i/>
          <w:iCs/>
          <w:color w:val="606060"/>
          <w:sz w:val="24"/>
          <w:szCs w:val="24"/>
        </w:rPr>
        <w:t xml:space="preserve">Relatório Técnico de Refatoração e Cobertura de Testes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Grupo CLPR</w:t>
      </w:r>
    </w:p>
    <w:p>
      <w:pPr>
        <w:spacing w:after="60"/>
        <w:jc w:val="center"/>
      </w:pPr>
      <w:r>
        <w:rPr>
          <w:sz w:val="22"/>
          <w:szCs w:val="22"/>
        </w:rPr>
        <w:t xml:space="preserve">Caio Batella · Lucas de Carvalho · Pedro Silva · Rodrigo Diniz</w:t>
      </w:r>
    </w:p>
    <w:p>
      <w:pPr>
        <w:spacing w:after="60"/>
        <w:jc w:val="center"/>
      </w:pPr>
      <w:r>
        <w:rPr>
          <w:color w:val="606060"/>
          <w:sz w:val="22"/>
          <w:szCs w:val="22"/>
        </w:rPr>
        <w:t xml:space="preserve">PUC Minas — Engenharia / Teste de Software — 2026.1</w:t>
      </w:r>
    </w:p>
    <w:p>
      <w:r>
        <w:br w:type="page"/>
      </w:r>
    </w:p>
    <w:p>
      <w:pPr>
        <w:pStyle w:val="Heading1"/>
      </w:pPr>
      <w:r>
        <w:t xml:space="preserve">1. Objetivo e Escopo da Fase 2</w:t>
      </w:r>
    </w:p>
    <w:p>
      <w:pPr>
        <w:spacing w:after="120"/>
        <w:jc w:val="both"/>
      </w:pPr>
      <w:r>
        <w:t xml:space="preserve">Esta fase parte do componente legado CheckoutService.processar(pedido) — auditado na Fase 1, com complexidade ciclomática V(G) = 3 — e o redesenha de forma limpa, dirigida por testes (TDD), especificada por comportamento (BDD) e blindada por padrões de projeto, atendendo às regras RN01 a RN07 do DER. As quatro frentes obrigatórias foram cobertas: especificação viva em Gherkin; ciclo Vermelho-Verde-Refatore; Test Patterns (Data Builder + Object Mother, Stubs e Mocks); e refatorações de Fowler para remover os blocos de if/else e o disparo de e-mail síncrono acoplado.</w:t>
      </w:r>
    </w:p>
    <w:p>
      <w:pPr>
        <w:pStyle w:val="Heading1"/>
      </w:pPr>
      <w:r>
        <w:t xml:space="preserve">2. Test Smells e Code Smells Identificados no Legado</w:t>
      </w:r>
    </w:p>
    <w:p>
      <w:pPr>
        <w:spacing w:after="120"/>
        <w:jc w:val="both"/>
      </w:pPr>
      <w:r>
        <w:t xml:space="preserve">A auditoria do código original revelou os seguintes problemas estruturais, que guiaram a refatoração: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3744"/>
        <w:gridCol w:w="3370"/>
      </w:tblGrid>
      <w:tr>
        <w:trPr>
          <w:tblHeader/>
        </w:trP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Smell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Onde / Sintoma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Refatoração Aplicada (Fowler)</w:t>
            </w:r>
          </w:p>
        </w:tc>
      </w:tr>
      <w:tr>
        <w:trPr>
          <w:tblHeader w:val="false"/>
        </w:trP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síncrono acoplado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await enviarConfirmacao dentro do fluxo de aprovação retém a resposta HTTP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 Method → _notifyAsync (fire-and-forget, RN02)</w:t>
            </w:r>
          </w:p>
        </w:tc>
      </w:tr>
      <w:tr>
        <w:trPr>
          <w:tblHeader w:val="false"/>
        </w:trP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Blocos if/else + try/catch monolíticos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Decisão de fluxo e tratamento de erro misturados em um único método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 Conditional → _handleApproved / _handleDeclined / _handleInfrastructureFailure</w:t>
            </w:r>
          </w:p>
        </w:tc>
      </w:tr>
      <w:tr>
        <w:trPr>
          <w:tblHeader w:val="false"/>
        </w:trP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Retorno de null ambíguo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null tanto para recusa quanto para erro de infra — perde a intenção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Introduce Result Object → CheckoutResult</w:t>
            </w:r>
          </w:p>
        </w:tc>
      </w:tr>
      <w:tr>
        <w:trPr>
          <w:tblHeader w:val="false"/>
        </w:trP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Validação na camada de controle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Checagem de campos misturada no server.js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 Class → OrderValidator (RN01)</w:t>
            </w:r>
          </w:p>
        </w:tc>
      </w:tr>
      <w:tr>
        <w:trPr>
          <w:tblHeader w:val="false"/>
        </w:trP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Ausência de resiliência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timeout, retry ou circuit breaker — falha bruta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Strategy/Decorator → withTimeout, retry, CircuitBreaker</w:t>
            </w:r>
          </w:p>
        </w:tc>
      </w:tr>
      <w:tr>
        <w:trPr>
          <w:tblHeader w:val="false"/>
        </w:trPr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Obscure Setup nos testes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Montagem manual e repetida de objetos pedido</w:t>
            </w:r>
          </w:p>
        </w:tc>
        <w:tc>
          <w:tcPr>
            <w:tcW w:type="dxa" w:w="3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Builder + Object Mother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Arquitetura Refatorada</w:t>
      </w:r>
    </w:p>
    <w:p>
      <w:pPr>
        <w:spacing w:after="120"/>
        <w:jc w:val="both"/>
      </w:pPr>
      <w:r>
        <w:t xml:space="preserve">O pipeline de processamento foi decomposto em responsabilidades únicas. A resiliência é composta em camadas, de modo que cada mecanismo trate exatamente um aspecto da tolerância a falhas: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validar(RN01) → breaker( retry( timeout( gateway ) ) ) → persistir + notificar</w:t>
      </w:r>
    </w:p>
    <w:p>
      <w:pPr>
        <w:spacing w:after="120"/>
        <w:jc w:val="both"/>
      </w:pPr>
      <w:r>
        <w:t xml:space="preserve">Leitura das camadas, de dentro para fora: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withTimeout (RN04): encerra uma tentativa individual que ultrapasse 2000 ms, liberando o pool de threads do Express.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(RN05/RN06): reexecuta até 3 vezes, com backoff fixo de 500 ms acrescido de jitter para evitar a ressincronização da Manada Estourada (Thundering Herd) da Fase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CircuitBreaker (RN07): abre o disjuntor quando a taxa de falha acumulada ultrapassa 50%, falhando rápido com CircuitOpenError e protegendo o servidor.</w:t>
      </w:r>
    </w:p>
    <w:p>
      <w:pPr>
        <w:spacing w:after="120"/>
        <w:jc w:val="both"/>
      </w:pPr>
      <w:r>
        <w:t xml:space="preserve">Falhas de infraestrutura (InfrastructureError) são retryable; recusas de negócio e erros de validação não são. Essa distinção, codificada na hierarquia de erros, impede o sistema de insistir em um cartão recusado e garante o disparo seletivo dos mecanismos de resiliência.</w:t>
      </w:r>
    </w:p>
    <w:p>
      <w:pPr>
        <w:pStyle w:val="Heading2"/>
      </w:pPr>
      <w:r>
        <w:t xml:space="preserve">3.1 Componentes Produzidos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680"/>
        <w:gridCol w:w="187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Regra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OrderValidator.js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Validação de entrada (e-mail, valor, cartão)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RN01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CheckoutService.js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Orquestração do fluxo + CheckoutResult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RN02/RN03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withTimeout.js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Timeout rígido por tentativa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RN04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Retentativas com backoff + jitter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RN05/RN06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CircuitBreaker.js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Degradação graciosa / fail-fast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RN07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errors/index.js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Hierarquia de erros (retryable vs. não)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4. Test Patterns Aplicados</w:t>
      </w:r>
    </w:p>
    <w:p>
      <w:pPr>
        <w:pStyle w:val="Heading2"/>
      </w:pPr>
      <w:r>
        <w:t xml:space="preserve">4.1 Data Builder + Object Mother</w:t>
      </w:r>
    </w:p>
    <w:p>
      <w:pPr>
        <w:spacing w:after="120"/>
        <w:jc w:val="both"/>
      </w:pPr>
      <w:r>
        <w:t xml:space="preserve">Para eliminar o Obscure Setup, combinamos os dois padrões: o Object Mother (PedidoMother) expõe pedidos canônicos nomeados por intenção, e cada método delega ao Data Builder (PedidoBuilder) por baixo. Isso une legibilidade e flexibilidade pontual.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PedidoMother.aprovavel();              // pedido canônico válido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PedidoMother.base().comValor(9999).build(); // ajuste pontual via builder</w:t>
      </w:r>
    </w:p>
    <w:p>
      <w:pPr>
        <w:pStyle w:val="Heading2"/>
      </w:pPr>
      <w:r>
        <w:t xml:space="preserve">4.2 Stubs vs. Mocks</w:t>
      </w:r>
    </w:p>
    <w:p>
      <w:pPr>
        <w:spacing w:after="120"/>
        <w:jc w:val="both"/>
      </w:pPr>
      <w:r>
        <w:t xml:space="preserve">Seguimos a distinção clássica: Stubs fornecem estado pré-fabricado (verificação de estado); Mocks verificam comportamento (interação). O caso mais relevante é o e-mail de confirmação, asserido por Mock: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1685"/>
        <w:gridCol w:w="4493"/>
      </w:tblGrid>
      <w:tr>
        <w:trPr>
          <w:tblHeader/>
        </w:trP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Double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Uso no teste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gatewayAprovaStub / gatewayRecusaStub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Stub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Injetam respostas de estado do gateway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gatewaySequencialStub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Stub programável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Falha-depois-recupera (Fluxo 3)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emailService (jest.fn)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Assere que o e-mail dispara só no sucesso (RN02/RN03)</w:t>
            </w:r>
          </w:p>
        </w:tc>
      </w:tr>
      <w:tr>
        <w:trPr>
          <w:tblHeader w:val="false"/>
        </w:trP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pedidoRepository (jest.spyOn)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Mock/Spy</w:t>
            </w:r>
          </w:p>
        </w:tc>
        <w:tc>
          <w:tcPr>
            <w:tcW w:type="dxa" w:w="4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 persistência com o status correto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Especificação Viva (BDD / Gherkin)</w:t>
      </w:r>
    </w:p>
    <w:p>
      <w:pPr>
        <w:spacing w:after="120"/>
        <w:jc w:val="both"/>
      </w:pPr>
      <w:r>
        <w:t xml:space="preserve">Os cinco fluxos da matriz de rastreabilidade do DER foram descritos em features/checkout.feature no formato Dado-Quando-Então (em português), executados via jest-cucumber — um único runner cobre testes unitários e BDD, e a Fase 3 enxerga toda a suíte de uma vez. Exemplo do cenário crítico RN03: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Cenário: Cartão recusado não dispara e-mail (Fluxo 2)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Dado que o gateway de pagamento responde "RECUSADO"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Quando o checkout é processado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Então o pedido deve ter status "FALHOU"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E o e-mail de confirmação não deve ser enviado</w:t>
      </w:r>
    </w:p>
    <w:p>
      <w:pPr>
        <w:pStyle w:val="Heading1"/>
      </w:pPr>
      <w:r>
        <w:t xml:space="preserve">6. Ciclo TDD e Cobertura Resultante</w:t>
      </w:r>
    </w:p>
    <w:p>
      <w:pPr>
        <w:spacing w:after="120"/>
        <w:jc w:val="both"/>
      </w:pPr>
      <w:r>
        <w:t xml:space="preserve">A implementação seguiu o ciclo Vermelho-Verde-Refatore: cada regra de negócio foi expressa primeiro como teste (falhando), depois implementada ao mínimo para passar, e por fim refatorada. A suíte final, executada com Jest, apresenta os seguintes números: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rPr>
          <w:tblHeader/>
        </w:trP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de testes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 passando (4 suítes)</w:t>
            </w:r>
          </w:p>
        </w:tc>
      </w:tr>
      <w:tr>
        <w:trPr>
          <w:tblHeader w:val="false"/>
        </w:trP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 de linhas (src)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96%</w:t>
            </w:r>
          </w:p>
        </w:tc>
      </w:tr>
      <w:tr>
        <w:trPr>
          <w:tblHeader w:val="false"/>
        </w:trP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Cobertura de funções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Fluxos do DER cobertos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de 5 (Fluxos 1–5)</w:t>
            </w:r>
          </w:p>
        </w:tc>
      </w:tr>
      <w:tr>
        <w:trPr>
          <w:tblHeader w:val="false"/>
        </w:trPr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Caminhos independentes (V(G)=3)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 os 3 caminhos-base cobertos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Tabela de rastreabilidade Fluxo → Teste: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4867"/>
        <w:gridCol w:w="2059"/>
      </w:tblGrid>
      <w:tr>
        <w:trPr>
          <w:tblHeader/>
        </w:trP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Fluxo (DER)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Cenário de Teste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Fluxo 1 — Aprovado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PROCESSADO + e-mail disparado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Fluxo 2 — Recusado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FALHOU + e-mail bloqueado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Fluxo 3 — Resiliência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falha 1x, recupera na 2ª tentativa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Fluxo 4 — Caos total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esgota retries → fallback ERRO_GATEWAY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Fluxo 5 — Contrato</w:t>
            </w:r>
          </w:p>
        </w:tc>
        <w:tc>
          <w:tcPr>
            <w:tcW w:type="dxa" w:w="4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ValidationError, sem tocar gateway/banco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</w:tbl>
    <w:p>
      <w:pPr>
        <w:pStyle w:val="Heading1"/>
      </w:pPr>
      <w:r>
        <w:t xml:space="preserve">7. Preparação para a Fase 3 (Teste de Mutação)</w:t>
      </w:r>
    </w:p>
    <w:p>
      <w:pPr>
        <w:spacing w:after="120"/>
        <w:jc w:val="both"/>
      </w:pPr>
      <w:r>
        <w:t xml:space="preserve">A configuração do Stryker.js (stryker.config.js) já está pronta, com meta de quebra em 80% e alvo de 90%. Uma execução parcial de validação confirmou que a suíte mata mutantes efetivamente: o módulo withTimeout.js atingiu 100% de mutation score após o reforço dos testes. Dois mutantes sobreviventes detectados durante a Fase 2 já foram eliminados de imediato (regex de e-mail e limpeza de timer), demonstrando o uso da mutação como instrumento de enriquecimento da suíte.</w:t>
      </w:r>
    </w:p>
    <w:p>
      <w:pPr>
        <w:spacing w:after="120"/>
        <w:jc w:val="both"/>
      </w:pPr>
      <w:r>
        <w:t xml:space="preserve">Os mutantes remanescentes no validador são candidatos a mutantes equivalentes (formas alternativas da expressão regular que aceitam o mesmo conjunto de entradas) — sua justificativa técnica formal é a entrega central da Fase 3.</w:t>
      </w:r>
    </w:p>
    <w:p>
      <w:pPr>
        <w:pStyle w:val="Heading1"/>
      </w:pPr>
      <w:r>
        <w:t xml:space="preserve">8. Conclusão</w:t>
      </w:r>
    </w:p>
    <w:p>
      <w:pPr>
        <w:spacing w:after="120"/>
        <w:jc w:val="both"/>
      </w:pPr>
      <w:r>
        <w:t xml:space="preserve">O CheckoutService foi redesenhado de um método monolítico e frágil para um pipeline coeso, com responsabilidades isoladas e resiliência explícita. As quatro frentes da Fase 2 foram entregues: especificação Gherkin dos cinco fluxos, ciclo TDD com 44 testes e ~96% de cobertura, Test Patterns (Builder, Mother, Stubs e Mocks) eliminando o Obscure Setup, e refatorações de Fowler removendo os smells de acoplamento e condicionais. A arquitetura está pronta para enfrentar o teste de mutação da Fase 3 e a injeção de caos da Fase 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2026-06-24T18:41:38.316Z</dcterms:created>
  <dcterms:modified xsi:type="dcterms:W3CDTF">2026-06-24T18:41:38.316Z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