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924B" w14:textId="72883223" w:rsidR="0083329A" w:rsidRDefault="00691C35">
      <w:r>
        <w:rPr>
          <w:i/>
          <w:iCs/>
        </w:rPr>
        <w:t>Brady Claim</w:t>
      </w:r>
      <w:r w:rsidR="00AA7979">
        <w:rPr>
          <w:i/>
          <w:iCs/>
        </w:rPr>
        <w:t>s</w:t>
      </w:r>
    </w:p>
    <w:p w14:paraId="2B9DD446" w14:textId="331FA6F9" w:rsidR="008A5CC7" w:rsidRPr="00B360C8" w:rsidRDefault="00691C35" w:rsidP="008A5CC7">
      <w:r>
        <w:t xml:space="preserve">Claims under </w:t>
      </w:r>
      <w:r>
        <w:rPr>
          <w:i/>
          <w:iCs/>
        </w:rPr>
        <w:t>Brady v. Maryland</w:t>
      </w:r>
      <w:r>
        <w:t xml:space="preserve">, 373 U.S. 83 (1963), are cognizable under Rule 3.850. </w:t>
      </w:r>
      <w:r>
        <w:rPr>
          <w:i/>
          <w:iCs/>
        </w:rPr>
        <w:t>Felder v. State</w:t>
      </w:r>
      <w:r>
        <w:t xml:space="preserve">, 198 So. 3d 951 (Fla. 2d DCA 2016). </w:t>
      </w:r>
      <w:r>
        <w:rPr>
          <w:i/>
          <w:iCs/>
        </w:rPr>
        <w:t>Brady</w:t>
      </w:r>
      <w:r>
        <w:t xml:space="preserve"> requires the State to disclose material information within its possession or control that is favorable to the defense. </w:t>
      </w:r>
      <w:r>
        <w:rPr>
          <w:i/>
          <w:iCs/>
        </w:rPr>
        <w:t>Jimenez v. State</w:t>
      </w:r>
      <w:r>
        <w:t xml:space="preserve">, 265 So. 3d 462, 478 (Fla. 2018). A claim under </w:t>
      </w:r>
      <w:r>
        <w:rPr>
          <w:i/>
          <w:iCs/>
        </w:rPr>
        <w:t>Brady</w:t>
      </w:r>
      <w:r>
        <w:t xml:space="preserve"> the must allege and demonstrate that: (1) favorable exculpatory or impeaching evidence (2) was willfully or inadvertently suppressed by the State, and (3) the defendant was prejudiced because the evidence was material. </w:t>
      </w:r>
      <w:r>
        <w:rPr>
          <w:i/>
          <w:iCs/>
        </w:rPr>
        <w:t>Id</w:t>
      </w:r>
      <w:r>
        <w:t xml:space="preserve">. </w:t>
      </w:r>
      <w:r w:rsidR="008A5CC7">
        <w:t xml:space="preserve">The defendant must affirmatively allege that the material was in the State’s possession. </w:t>
      </w:r>
      <w:r w:rsidR="008A5CC7">
        <w:rPr>
          <w:i/>
          <w:iCs/>
        </w:rPr>
        <w:t>Owen v. Crosby</w:t>
      </w:r>
      <w:r w:rsidR="008A5CC7">
        <w:t xml:space="preserve">, 854 So. 2d 182, 187 (2003). </w:t>
      </w:r>
      <w:r>
        <w:t xml:space="preserve">The defendant bears the burden of showing a reasonable probability, defined as a probability sufficient to undermine confidence in the outcome, that the undisclosed evidence would have produced a different verdict. </w:t>
      </w:r>
      <w:r>
        <w:rPr>
          <w:i/>
          <w:iCs/>
        </w:rPr>
        <w:t>Guzman v. State</w:t>
      </w:r>
      <w:r>
        <w:t xml:space="preserve">, 868 So. 2d 498, 506 (Fla. 2003); </w:t>
      </w:r>
      <w:r>
        <w:rPr>
          <w:i/>
          <w:iCs/>
        </w:rPr>
        <w:t>Way v. State</w:t>
      </w:r>
      <w:r>
        <w:t xml:space="preserve">, 760 So. 2d 903, 913 (Fla. 2000). Impeaching evidence should be considered in conjunction with the evidence presented during trial to properly assess its materiality. </w:t>
      </w:r>
      <w:r>
        <w:rPr>
          <w:i/>
          <w:iCs/>
        </w:rPr>
        <w:t>David v. State</w:t>
      </w:r>
      <w:r>
        <w:t xml:space="preserve">, 26 So. 3d 519, 531 (Fla. 2009). Evidence that is equally available and known to the defense will not be deemed “suppressed” under </w:t>
      </w:r>
      <w:r>
        <w:rPr>
          <w:i/>
          <w:iCs/>
        </w:rPr>
        <w:t>Brady</w:t>
      </w:r>
      <w:r>
        <w:t xml:space="preserve">. </w:t>
      </w:r>
      <w:r>
        <w:rPr>
          <w:i/>
          <w:iCs/>
        </w:rPr>
        <w:t>Owen v. State</w:t>
      </w:r>
      <w:r>
        <w:t>, 986 So. 2d 534, 547 (Fla. 2008).</w:t>
      </w:r>
      <w:r w:rsidR="008A5CC7">
        <w:t xml:space="preserve"> Where multiple </w:t>
      </w:r>
      <w:r w:rsidR="008A5CC7">
        <w:rPr>
          <w:i/>
          <w:iCs/>
        </w:rPr>
        <w:t>Brady</w:t>
      </w:r>
      <w:r w:rsidR="008A5CC7">
        <w:t xml:space="preserve"> violations are alleged, a court must assess the materiality and prejudice for each violation and for the cumulative effect of all violations.</w:t>
      </w:r>
      <w:r w:rsidR="00B360C8">
        <w:t xml:space="preserve"> </w:t>
      </w:r>
      <w:r w:rsidR="00B360C8">
        <w:rPr>
          <w:i/>
          <w:iCs/>
        </w:rPr>
        <w:t>Jimenez</w:t>
      </w:r>
      <w:r w:rsidR="00B360C8">
        <w:t>, 265 So. 3d at 478.</w:t>
      </w:r>
    </w:p>
    <w:sectPr w:rsidR="008A5CC7" w:rsidRPr="00B36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C35"/>
    <w:rsid w:val="00332D23"/>
    <w:rsid w:val="0037280B"/>
    <w:rsid w:val="003D0791"/>
    <w:rsid w:val="006520E6"/>
    <w:rsid w:val="00691C35"/>
    <w:rsid w:val="0083329A"/>
    <w:rsid w:val="008A5CC7"/>
    <w:rsid w:val="00AA7979"/>
    <w:rsid w:val="00B25240"/>
    <w:rsid w:val="00B360C8"/>
    <w:rsid w:val="00DC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8C85AD"/>
  <w15:chartTrackingRefBased/>
  <w15:docId w15:val="{58BF1FF1-4F7D-304C-9BA7-EC28A0F3A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0E6"/>
    <w:pPr>
      <w:spacing w:after="0" w:line="480" w:lineRule="auto"/>
      <w:ind w:firstLine="72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91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C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C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C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C3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C3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C3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C3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C3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C3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C3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C3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C3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C3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C3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C35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C3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C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1287</Characters>
  <Application>Microsoft Office Word</Application>
  <DocSecurity>0</DocSecurity>
  <Lines>17</Lines>
  <Paragraphs>2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Bates</dc:creator>
  <cp:keywords/>
  <dc:description/>
  <cp:lastModifiedBy>Brian Bates</cp:lastModifiedBy>
  <cp:revision>2</cp:revision>
  <dcterms:created xsi:type="dcterms:W3CDTF">2026-06-27T21:28:00Z</dcterms:created>
  <dcterms:modified xsi:type="dcterms:W3CDTF">2026-06-27T21:28:00Z</dcterms:modified>
</cp:coreProperties>
</file>