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297F" w14:textId="06EECA19" w:rsidR="0083329A" w:rsidRDefault="006126E2">
      <w:pPr>
        <w:rPr>
          <w:i/>
          <w:iCs/>
        </w:rPr>
      </w:pPr>
      <w:r>
        <w:rPr>
          <w:i/>
          <w:iCs/>
        </w:rPr>
        <w:t>Failure to Object to Improper Argument</w:t>
      </w:r>
    </w:p>
    <w:p w14:paraId="52B1EE9D" w14:textId="54AA0FDE" w:rsidR="006126E2" w:rsidRPr="006126E2" w:rsidRDefault="006126E2">
      <w:r>
        <w:t xml:space="preserve">Failure to object to improper argument is a cognizable basis for an ineffective assistance of counsel claim. </w:t>
      </w:r>
      <w:r>
        <w:rPr>
          <w:i/>
          <w:iCs/>
        </w:rPr>
        <w:t>Haygood v. State</w:t>
      </w:r>
      <w:r>
        <w:t>, 128 So. 3d 178, 179 (Fla. 1st DCA 2013).</w:t>
      </w:r>
      <w:r w:rsidR="00484C65">
        <w:t xml:space="preserve"> Improper argument only warrants relief if it deprived the defendant of a fair and impartial trial, materially contributed to the conviction, was so harmful as to require a new trial, or was so inflammatory that it might have resulted in a more severe verdict. </w:t>
      </w:r>
      <w:r w:rsidR="00484C65">
        <w:rPr>
          <w:i/>
          <w:iCs/>
        </w:rPr>
        <w:t>Jones v. State</w:t>
      </w:r>
      <w:r w:rsidR="00484C65">
        <w:t xml:space="preserve">, 998 So. 2d 573, 589 (Fla. 2008). </w:t>
      </w:r>
      <w:r>
        <w:t xml:space="preserve">A claim can be made based on counsel’s failure to object to a number of different improper arguments. </w:t>
      </w:r>
      <w:r>
        <w:rPr>
          <w:i/>
          <w:iCs/>
        </w:rPr>
        <w:t>See, e.g., Jordan v. State</w:t>
      </w:r>
      <w:r>
        <w:t xml:space="preserve">, 395 So. 3d 486, 493 (Fla. 2019) (golden rule argument); </w:t>
      </w:r>
      <w:r>
        <w:rPr>
          <w:i/>
          <w:iCs/>
        </w:rPr>
        <w:t>Jackson v. State</w:t>
      </w:r>
      <w:r>
        <w:t xml:space="preserve">, 147 So. 3d 469, 486 (Fla. 2014) (bolstering or vouching); </w:t>
      </w:r>
      <w:r>
        <w:rPr>
          <w:i/>
          <w:iCs/>
        </w:rPr>
        <w:t>Allen v. State</w:t>
      </w:r>
      <w:r>
        <w:t xml:space="preserve">, 261 So. 3d 1255, 1270 (Fla. 2019) (misstatement of the law); </w:t>
      </w:r>
      <w:r>
        <w:rPr>
          <w:i/>
          <w:iCs/>
        </w:rPr>
        <w:t>Eure v. State</w:t>
      </w:r>
      <w:r>
        <w:t xml:space="preserve">, 764 So. 2d 798, 800 (Fla. 2d DCA 2000) (matters not in evidence); </w:t>
      </w:r>
      <w:r>
        <w:rPr>
          <w:i/>
          <w:iCs/>
        </w:rPr>
        <w:t>Ruiz v. State</w:t>
      </w:r>
      <w:r>
        <w:t xml:space="preserve">, 80 So. 3d 420, 421 (Fla. 4th DCA 2012) (burden shifting). An improper argument that does not amount to fundamental error on direct appeal cannot establish the prejudice required under </w:t>
      </w:r>
      <w:r>
        <w:rPr>
          <w:i/>
          <w:iCs/>
        </w:rPr>
        <w:t>Strickland</w:t>
      </w:r>
      <w:r>
        <w:t xml:space="preserve">. </w:t>
      </w:r>
      <w:r>
        <w:rPr>
          <w:i/>
          <w:iCs/>
        </w:rPr>
        <w:t>Gonzalez v. State</w:t>
      </w:r>
      <w:r>
        <w:t xml:space="preserve">, 990 So. 2d 1017, 1029 n.8 (Fla. 2008) (citing </w:t>
      </w:r>
      <w:r>
        <w:rPr>
          <w:i/>
          <w:iCs/>
        </w:rPr>
        <w:t>Chandler v. State</w:t>
      </w:r>
      <w:r>
        <w:t xml:space="preserve">, 848 So. 2d 1031, 1046 (Fla. 2003)). </w:t>
      </w:r>
    </w:p>
    <w:sectPr w:rsidR="006126E2" w:rsidRPr="00612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E2"/>
    <w:rsid w:val="00332D23"/>
    <w:rsid w:val="0037280B"/>
    <w:rsid w:val="003D0791"/>
    <w:rsid w:val="00484C65"/>
    <w:rsid w:val="006126E2"/>
    <w:rsid w:val="006520E6"/>
    <w:rsid w:val="0083329A"/>
    <w:rsid w:val="00A36E31"/>
    <w:rsid w:val="00B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FA16A"/>
  <w15:chartTrackingRefBased/>
  <w15:docId w15:val="{6FD1A0E3-53CB-1440-BDF8-32B1BAF4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1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6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6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6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6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6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6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6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6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6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6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6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6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6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6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6E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6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6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217</Words>
  <Characters>1051</Characters>
  <Application>Microsoft Office Word</Application>
  <DocSecurity>0</DocSecurity>
  <Lines>14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3</cp:revision>
  <dcterms:created xsi:type="dcterms:W3CDTF">2026-06-27T21:30:00Z</dcterms:created>
  <dcterms:modified xsi:type="dcterms:W3CDTF">2026-06-28T02:09:00Z</dcterms:modified>
</cp:coreProperties>
</file>