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195E" w14:textId="3506CA91" w:rsidR="0083329A" w:rsidRDefault="00E653A8">
      <w:pPr>
        <w:rPr>
          <w:i/>
          <w:iCs/>
        </w:rPr>
      </w:pPr>
      <w:r>
        <w:rPr>
          <w:i/>
          <w:iCs/>
        </w:rPr>
        <w:t>Scoresheet Error Claims</w:t>
      </w:r>
    </w:p>
    <w:p w14:paraId="7469B442" w14:textId="389374BE" w:rsidR="00E653A8" w:rsidRPr="00E653A8" w:rsidRDefault="00E653A8">
      <w:r>
        <w:t xml:space="preserve">Claims of scoresheet error are cognizable in a Rule 3.850 motion under the “would-have-been-imposed” test. </w:t>
      </w:r>
      <w:r>
        <w:rPr>
          <w:i/>
          <w:iCs/>
        </w:rPr>
        <w:t>State v. Anderson</w:t>
      </w:r>
      <w:r>
        <w:t xml:space="preserve">, 905 So. 2d 111 (Fla. 2005). Under this test, a defendant is entitled to resentencing under a corrected scoresheet unless the record conclusively shows the same sentence would have been imposed under the corrected scoresheet. </w:t>
      </w:r>
      <w:r>
        <w:rPr>
          <w:i/>
          <w:iCs/>
        </w:rPr>
        <w:t>Id</w:t>
      </w:r>
      <w:r>
        <w:t xml:space="preserve">. This determination is informed by the statements of the sentencing judge articulating reasons for the sentence imposed, </w:t>
      </w:r>
      <w:r>
        <w:rPr>
          <w:i/>
          <w:iCs/>
        </w:rPr>
        <w:t>Jenkins v. State</w:t>
      </w:r>
      <w:r>
        <w:t xml:space="preserve">, 332 So. 3d 1013 (Fla. 4th DCA 2022), the difference between the sentence imposed and the lowest permissible sentence, </w:t>
      </w:r>
      <w:r>
        <w:rPr>
          <w:i/>
          <w:iCs/>
        </w:rPr>
        <w:t>Daniels v. State</w:t>
      </w:r>
      <w:r>
        <w:t xml:space="preserve">, 114 So. 3d 1108 (Fla. 2d DCA 2013), and whether the trial court imposed a departure sentence, </w:t>
      </w:r>
      <w:r>
        <w:rPr>
          <w:i/>
          <w:iCs/>
        </w:rPr>
        <w:t>Mooney v. State</w:t>
      </w:r>
      <w:r>
        <w:t xml:space="preserve">, 864 So. 2d 60 (Fla. 4th DCA 2003). Where the sentence was imposed pursuant to a negotiated plea, a scoresheet error will generally be harmless unless the negotiated sentence was based on the lowest permissible sentence under the scoresheet. </w:t>
      </w:r>
      <w:r>
        <w:rPr>
          <w:i/>
          <w:iCs/>
        </w:rPr>
        <w:t>Ruff v. State</w:t>
      </w:r>
      <w:r>
        <w:t>, 840 So. 2d 1145 (Fla. 5th DCA 2003).</w:t>
      </w:r>
    </w:p>
    <w:sectPr w:rsidR="00E653A8" w:rsidRPr="00E65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8"/>
    <w:rsid w:val="00332D23"/>
    <w:rsid w:val="0037280B"/>
    <w:rsid w:val="003D0791"/>
    <w:rsid w:val="006520E6"/>
    <w:rsid w:val="007D0BC8"/>
    <w:rsid w:val="0083329A"/>
    <w:rsid w:val="00B25240"/>
    <w:rsid w:val="00E6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F82B4"/>
  <w15:chartTrackingRefBased/>
  <w15:docId w15:val="{DBD62D9A-507F-6E43-86B4-E2BE65A3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6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888</Characters>
  <Application>Microsoft Office Word</Application>
  <DocSecurity>0</DocSecurity>
  <Lines>12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2</cp:revision>
  <dcterms:created xsi:type="dcterms:W3CDTF">2026-06-27T21:30:00Z</dcterms:created>
  <dcterms:modified xsi:type="dcterms:W3CDTF">2026-06-27T21:30:00Z</dcterms:modified>
</cp:coreProperties>
</file>