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E9C5" w14:textId="551CCFB7" w:rsidR="0083329A" w:rsidRDefault="005319A8">
      <w:r>
        <w:rPr>
          <w:i/>
          <w:iCs/>
        </w:rPr>
        <w:t>Strickland</w:t>
      </w:r>
      <w:r w:rsidR="00CD3DB0">
        <w:rPr>
          <w:i/>
          <w:iCs/>
        </w:rPr>
        <w:t xml:space="preserve"> for</w:t>
      </w:r>
      <w:r>
        <w:rPr>
          <w:i/>
          <w:iCs/>
        </w:rPr>
        <w:t xml:space="preserve"> Pleas</w:t>
      </w:r>
    </w:p>
    <w:p w14:paraId="7B2BEE9F" w14:textId="1643A660" w:rsidR="005319A8" w:rsidRPr="005319A8" w:rsidRDefault="005319A8" w:rsidP="005319A8">
      <w:pPr>
        <w:rPr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 xml:space="preserve">Where a conviction arises out of the plea process, the prejudice prong of </w:t>
      </w:r>
      <w:r>
        <w:rPr>
          <w:rStyle w:val="normaltextrun"/>
          <w:i/>
          <w:iCs/>
          <w:color w:val="000000"/>
          <w:shd w:val="clear" w:color="auto" w:fill="FFFFFF"/>
        </w:rPr>
        <w:t>Strickland</w:t>
      </w:r>
      <w:r>
        <w:rPr>
          <w:rStyle w:val="normaltextrun"/>
          <w:color w:val="000000"/>
          <w:shd w:val="clear" w:color="auto" w:fill="FFFFFF"/>
        </w:rPr>
        <w:t xml:space="preserve"> requires a showing that but for counsel’s deficient performance, the defendant would not have entered a plea and would have proceeded to trial. </w:t>
      </w:r>
      <w:r>
        <w:rPr>
          <w:rStyle w:val="normaltextrun"/>
          <w:i/>
          <w:iCs/>
          <w:color w:val="000000"/>
          <w:shd w:val="clear" w:color="auto" w:fill="FFFFFF"/>
        </w:rPr>
        <w:t>McDonald v. State</w:t>
      </w:r>
      <w:r>
        <w:rPr>
          <w:rStyle w:val="normaltextrun"/>
          <w:color w:val="000000"/>
          <w:shd w:val="clear" w:color="auto" w:fill="FFFFFF"/>
        </w:rPr>
        <w:t xml:space="preserve">, 35 So. 3d 169, 171 (Fla. 2d DCA 2010). The defendant must affirmatively request to withdraw the plea in its entirety. </w:t>
      </w:r>
      <w:r>
        <w:rPr>
          <w:rStyle w:val="normaltextrun"/>
          <w:i/>
          <w:iCs/>
          <w:color w:val="000000"/>
          <w:shd w:val="clear" w:color="auto" w:fill="FFFFFF"/>
        </w:rPr>
        <w:t>Agent v. State</w:t>
      </w:r>
      <w:r>
        <w:rPr>
          <w:rStyle w:val="normaltextrun"/>
          <w:color w:val="000000"/>
          <w:shd w:val="clear" w:color="auto" w:fill="FFFFFF"/>
        </w:rPr>
        <w:t xml:space="preserve">, 19 So. 3d 1114, 1115 (Fla. 2d DCA 2009); </w:t>
      </w:r>
      <w:r>
        <w:rPr>
          <w:rStyle w:val="normaltextrun"/>
          <w:i/>
          <w:iCs/>
          <w:color w:val="000000"/>
          <w:shd w:val="clear" w:color="auto" w:fill="FFFFFF"/>
        </w:rPr>
        <w:t>Cornett v. State</w:t>
      </w:r>
      <w:r>
        <w:rPr>
          <w:rStyle w:val="normaltextrun"/>
          <w:color w:val="000000"/>
          <w:shd w:val="clear" w:color="auto" w:fill="FFFFFF"/>
        </w:rPr>
        <w:t xml:space="preserve">, 922 So. 2d 297, 299 (Fla. 2d DCA 2006). In determining whether a reasonable probability exists that the defendant would have proceeded to trial, the trial court should consider the totality of the circumstances, including: (1) whether a particular defense was likely to succeed at trial; (2) the colloquy between the defendant and the court at the time of the plea; and (3) the difference between the sentence imposed under the plea and the maximum possible sentence the defendant faced at trial. </w:t>
      </w:r>
      <w:r>
        <w:rPr>
          <w:rStyle w:val="normaltextrun"/>
          <w:i/>
          <w:iCs/>
          <w:color w:val="000000"/>
          <w:shd w:val="clear" w:color="auto" w:fill="FFFFFF"/>
        </w:rPr>
        <w:t>Grosvenor v. State</w:t>
      </w:r>
      <w:r>
        <w:rPr>
          <w:rStyle w:val="normaltextrun"/>
          <w:color w:val="000000"/>
          <w:shd w:val="clear" w:color="auto" w:fill="FFFFFF"/>
        </w:rPr>
        <w:t xml:space="preserve">, 874 SO. 2d 1176, 1181-82 (Fla. 2004). The defendant “must convince the court that a decision to reject the plea bargain would have been rational under the circumstances.” </w:t>
      </w:r>
      <w:r>
        <w:rPr>
          <w:rStyle w:val="normaltextrun"/>
          <w:i/>
          <w:iCs/>
          <w:color w:val="000000"/>
          <w:shd w:val="clear" w:color="auto" w:fill="FFFFFF"/>
        </w:rPr>
        <w:t>Goddard v. State</w:t>
      </w:r>
      <w:r>
        <w:rPr>
          <w:rStyle w:val="normaltextrun"/>
          <w:color w:val="000000"/>
          <w:shd w:val="clear" w:color="auto" w:fill="FFFFFF"/>
        </w:rPr>
        <w:t>, 217 So. 3d 1105, 1107 (Fla. 2d DCA 2017) (cleaned up).</w:t>
      </w:r>
    </w:p>
    <w:sectPr w:rsidR="005319A8" w:rsidRPr="00531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A8"/>
    <w:rsid w:val="00332D23"/>
    <w:rsid w:val="0037280B"/>
    <w:rsid w:val="003D0791"/>
    <w:rsid w:val="00501CFE"/>
    <w:rsid w:val="005319A8"/>
    <w:rsid w:val="006520E6"/>
    <w:rsid w:val="0083329A"/>
    <w:rsid w:val="00B25240"/>
    <w:rsid w:val="00C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F0F2D"/>
  <w15:chartTrackingRefBased/>
  <w15:docId w15:val="{D637A87A-59AD-BA4A-BCB4-E8DA23AB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A8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5319A8"/>
  </w:style>
  <w:style w:type="character" w:customStyle="1" w:styleId="eop">
    <w:name w:val="eop"/>
    <w:basedOn w:val="DefaultParagraphFont"/>
    <w:rsid w:val="00531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1017</Characters>
  <Application>Microsoft Office Word</Application>
  <DocSecurity>0</DocSecurity>
  <Lines>14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2</cp:revision>
  <dcterms:created xsi:type="dcterms:W3CDTF">2026-06-27T21:25:00Z</dcterms:created>
  <dcterms:modified xsi:type="dcterms:W3CDTF">2026-06-27T21:25:00Z</dcterms:modified>
</cp:coreProperties>
</file>