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40D6" w14:textId="1BBC20C8" w:rsidR="0083329A" w:rsidRDefault="0068695A">
      <w:pPr>
        <w:rPr>
          <w:i/>
          <w:iCs/>
        </w:rPr>
      </w:pPr>
      <w:r>
        <w:rPr>
          <w:i/>
          <w:iCs/>
        </w:rPr>
        <w:t>Successiveness</w:t>
      </w:r>
    </w:p>
    <w:p w14:paraId="59E84097" w14:textId="659AC7B5" w:rsidR="0068695A" w:rsidRPr="005B0DFE" w:rsidRDefault="0068695A">
      <w:r>
        <w:t>A second or successive Rule 3.850 motion</w:t>
      </w:r>
      <w:r w:rsidR="005B0DFE">
        <w:t xml:space="preserve"> is an extraordinary pleading that is subject to dismissal unless it alleges new or different grounds for relief and demonstrates good cause for failing to raise the grounds in a prior motion</w:t>
      </w:r>
      <w:r>
        <w:t xml:space="preserve">. </w:t>
      </w:r>
      <w:r>
        <w:rPr>
          <w:i/>
          <w:iCs/>
        </w:rPr>
        <w:t>Clough v. State</w:t>
      </w:r>
      <w:r>
        <w:t>, 136 So. 3d 680, 683 (Fla. 2d DCA 2014); Fla. R. Crim. P. 3.850(j).</w:t>
      </w:r>
      <w:r w:rsidR="005B0DFE">
        <w:t xml:space="preserve"> A motion that fails to allege new or different grounds is successive only if the prior determination was on the merits. Fla. R. Crim. P. 3.850(j)(2). An order denying a postconviction claim for failure to amend or failure to cure a pleading deficiency generally operates as a determination on the merits. </w:t>
      </w:r>
      <w:r w:rsidR="005B0DFE">
        <w:rPr>
          <w:i/>
          <w:iCs/>
        </w:rPr>
        <w:t>Smith v. State</w:t>
      </w:r>
      <w:r w:rsidR="005B0DFE">
        <w:t xml:space="preserve">, 100 So. 3d 201, 202 (Fla. 2d DCA 2012); </w:t>
      </w:r>
      <w:r w:rsidR="005B0DFE">
        <w:rPr>
          <w:i/>
          <w:iCs/>
        </w:rPr>
        <w:t>Lawrence v. State</w:t>
      </w:r>
      <w:r w:rsidR="005B0DFE">
        <w:t>, 987 So. 2d 157, 159 (Fla. 2d DCA 2008)</w:t>
      </w:r>
      <w:r w:rsidR="00EA7407">
        <w:t xml:space="preserve">; </w:t>
      </w:r>
      <w:r w:rsidR="00EA7407">
        <w:rPr>
          <w:i/>
          <w:iCs/>
        </w:rPr>
        <w:t>Cantu v. State</w:t>
      </w:r>
      <w:r w:rsidR="00EA7407">
        <w:t>, 33 So. 3d 145, 147 (Fla. 2d DCA 2010)</w:t>
      </w:r>
      <w:r w:rsidR="005B0DFE">
        <w:t>.</w:t>
      </w:r>
    </w:p>
    <w:sectPr w:rsidR="0068695A" w:rsidRPr="005B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5A"/>
    <w:rsid w:val="00332D23"/>
    <w:rsid w:val="0037280B"/>
    <w:rsid w:val="003D0791"/>
    <w:rsid w:val="005B0DFE"/>
    <w:rsid w:val="006520E6"/>
    <w:rsid w:val="0068695A"/>
    <w:rsid w:val="00787E4A"/>
    <w:rsid w:val="0083329A"/>
    <w:rsid w:val="00B25240"/>
    <w:rsid w:val="00CB4A75"/>
    <w:rsid w:val="00EA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3C822"/>
  <w15:chartTrackingRefBased/>
  <w15:docId w15:val="{CF87E303-EE61-D542-A25E-06990C55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5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663</Characters>
  <Application>Microsoft Office Word</Application>
  <DocSecurity>0</DocSecurity>
  <Lines>10</Lines>
  <Paragraphs>2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3</cp:revision>
  <dcterms:created xsi:type="dcterms:W3CDTF">2026-06-27T20:40:00Z</dcterms:created>
  <dcterms:modified xsi:type="dcterms:W3CDTF">2026-06-27T20:48:00Z</dcterms:modified>
</cp:coreProperties>
</file>