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EF68E" w14:textId="14C78DB9" w:rsidR="0083329A" w:rsidRDefault="003D110E">
      <w:pPr>
        <w:rPr>
          <w:i/>
          <w:iCs/>
        </w:rPr>
      </w:pPr>
      <w:r>
        <w:rPr>
          <w:i/>
          <w:iCs/>
        </w:rPr>
        <w:t>Failure to File Motion for New Trial</w:t>
      </w:r>
    </w:p>
    <w:p w14:paraId="4706A59B" w14:textId="67E2878B" w:rsidR="009C687C" w:rsidRDefault="009C687C">
      <w:r>
        <w:t>To prevail on a claim that counsel was ineffective for failing to file a motion for a new trial, a defendant must allege and demonstrate a reasonable probability that the trial court would have granted the motion</w:t>
      </w:r>
      <w:r w:rsidR="003D110E">
        <w:t xml:space="preserve">. </w:t>
      </w:r>
      <w:r>
        <w:rPr>
          <w:i/>
          <w:iCs/>
        </w:rPr>
        <w:t>Lamb v. State</w:t>
      </w:r>
      <w:r>
        <w:t>, 124 So. 3d 953 (Fla. 2d DCA 2013). The prejudice analysis depends on the grounds for new trial raised in the claim.</w:t>
      </w:r>
    </w:p>
    <w:p w14:paraId="50995141" w14:textId="2AE75623" w:rsidR="003D110E" w:rsidRDefault="003D110E" w:rsidP="009C687C">
      <w:r>
        <w:t xml:space="preserve">A motion for new trial </w:t>
      </w:r>
      <w:r w:rsidR="009C687C">
        <w:t>is</w:t>
      </w:r>
      <w:r>
        <w:t xml:space="preserve"> the exclusive mechanism </w:t>
      </w:r>
      <w:r w:rsidR="009C687C">
        <w:t>available for a</w:t>
      </w:r>
      <w:r>
        <w:t xml:space="preserve"> defendant to seek judicial review of the weight of the evidence</w:t>
      </w:r>
      <w:r w:rsidR="009C687C">
        <w:t>, and counsel has an obligation to file the motion where the evidence of guilt is tenuous</w:t>
      </w:r>
      <w:r>
        <w:t>.</w:t>
      </w:r>
      <w:r w:rsidR="009C687C">
        <w:t xml:space="preserve"> </w:t>
      </w:r>
      <w:r w:rsidR="009C687C">
        <w:rPr>
          <w:i/>
          <w:iCs/>
        </w:rPr>
        <w:t>Id</w:t>
      </w:r>
      <w:r w:rsidR="009C687C">
        <w:t xml:space="preserve">. at 956 (quoting </w:t>
      </w:r>
      <w:r>
        <w:rPr>
          <w:i/>
          <w:iCs/>
        </w:rPr>
        <w:t>Robinson v. State</w:t>
      </w:r>
      <w:r>
        <w:t>, 462 So. 2d 471 (Fla. 1st DCA 1984)</w:t>
      </w:r>
      <w:r w:rsidR="009C687C">
        <w:t>)</w:t>
      </w:r>
      <w:r>
        <w:t xml:space="preserve">. </w:t>
      </w:r>
      <w:r w:rsidR="009C687C">
        <w:t>In this context</w:t>
      </w:r>
      <w:r>
        <w:t xml:space="preserve">, </w:t>
      </w:r>
      <w:r w:rsidR="009C687C">
        <w:t>a</w:t>
      </w:r>
      <w:r>
        <w:t xml:space="preserve"> defendant must </w:t>
      </w:r>
      <w:r w:rsidR="009C687C">
        <w:t>allege</w:t>
      </w:r>
      <w:r>
        <w:t xml:space="preserve"> that a greater amount of credible evidence supported acquittal. </w:t>
      </w:r>
      <w:r>
        <w:rPr>
          <w:i/>
          <w:iCs/>
        </w:rPr>
        <w:t>Mitchell v. State</w:t>
      </w:r>
      <w:r>
        <w:t>, 245 So. 3d 805, 807 (Fla. 4th DCA 2018).</w:t>
      </w:r>
      <w:r w:rsidR="009C687C">
        <w:t xml:space="preserve"> This requires more than a bare assertion that the case “could have gone either way.” </w:t>
      </w:r>
      <w:r w:rsidR="009C687C">
        <w:rPr>
          <w:i/>
          <w:iCs/>
        </w:rPr>
        <w:t>Manley v. State</w:t>
      </w:r>
      <w:r w:rsidR="009C687C">
        <w:t>, 605 So. 2d 1327, 1328 (Fla. 2d DCA 1992).</w:t>
      </w:r>
      <w:r>
        <w:t xml:space="preserve"> </w:t>
      </w:r>
      <w:r w:rsidR="009C687C">
        <w:t xml:space="preserve">A defendant must allege how the evidence was sufficiently weak or equivocal to create a reasonable probability a new trial would have been granted. </w:t>
      </w:r>
      <w:r w:rsidR="009C687C">
        <w:rPr>
          <w:i/>
          <w:iCs/>
        </w:rPr>
        <w:t>Lamb</w:t>
      </w:r>
      <w:r w:rsidR="009C687C">
        <w:t xml:space="preserve">, 124 So. 3d at 957. </w:t>
      </w:r>
      <w:r>
        <w:t xml:space="preserve">In </w:t>
      </w:r>
      <w:r w:rsidR="009C687C">
        <w:t>determining prejudice</w:t>
      </w:r>
      <w:r>
        <w:t xml:space="preserve">, the trial court acts as an additional juror and must weigh the evidence and the credibility of witnesses. </w:t>
      </w:r>
      <w:r>
        <w:rPr>
          <w:i/>
          <w:iCs/>
        </w:rPr>
        <w:t>Tibbs v. State</w:t>
      </w:r>
      <w:r>
        <w:t>, 397 So. 2d 1120, 1123 n.9 (Fla. 1981).</w:t>
      </w:r>
    </w:p>
    <w:p w14:paraId="03C6B9C9" w14:textId="0028DAF8" w:rsidR="009C687C" w:rsidRPr="009C687C" w:rsidRDefault="009C687C" w:rsidP="009C687C">
      <w:r>
        <w:t xml:space="preserve">In the context of a motion for a new trial based on a juror’s failure to disclose information, a defendant must allege and show that: (1) the information was relevant and material to jury service in the case; (2) the juror concealed the information during questioning; and (3) the juror’s failure to disclose the information was not attributable to the defendant’s lack of diligence. </w:t>
      </w:r>
      <w:r>
        <w:rPr>
          <w:i/>
          <w:iCs/>
        </w:rPr>
        <w:t>Johnston v. State</w:t>
      </w:r>
      <w:r>
        <w:t xml:space="preserve">, 63 So. 3d 730, 738 (Fla. 2011) (quoting </w:t>
      </w:r>
      <w:r>
        <w:rPr>
          <w:i/>
          <w:iCs/>
        </w:rPr>
        <w:t>De La Rosa v. Zequeira</w:t>
      </w:r>
      <w:r>
        <w:t xml:space="preserve">, 659 So. 2d 239, 241 (Fla. 1995)). Materiality requires that the information was so substantial that disclosure likely would have resulted in a peremptory challenge. </w:t>
      </w:r>
      <w:r>
        <w:rPr>
          <w:i/>
          <w:iCs/>
        </w:rPr>
        <w:t>Id</w:t>
      </w:r>
      <w:r>
        <w:t xml:space="preserve">. (quoting </w:t>
      </w:r>
      <w:r>
        <w:rPr>
          <w:i/>
          <w:iCs/>
        </w:rPr>
        <w:t>Murray v. State</w:t>
      </w:r>
      <w:r>
        <w:t>, 3 So. 3d 1108, 1121-22).</w:t>
      </w:r>
    </w:p>
    <w:sectPr w:rsidR="009C687C" w:rsidRPr="009C68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10E"/>
    <w:rsid w:val="000F3015"/>
    <w:rsid w:val="00332D23"/>
    <w:rsid w:val="0037280B"/>
    <w:rsid w:val="003D0791"/>
    <w:rsid w:val="003D110E"/>
    <w:rsid w:val="006520E6"/>
    <w:rsid w:val="0083329A"/>
    <w:rsid w:val="009C687C"/>
    <w:rsid w:val="00B25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F82165"/>
  <w15:chartTrackingRefBased/>
  <w15:docId w15:val="{20E36149-42D4-D547-A638-A1EA8BFEA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20E6"/>
    <w:pPr>
      <w:spacing w:after="0" w:line="480" w:lineRule="auto"/>
      <w:ind w:firstLine="72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3D11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11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110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110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110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110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110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110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110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11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11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110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110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110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110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110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110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110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11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11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110E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110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11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11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11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11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11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11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11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363</Words>
  <Characters>1671</Characters>
  <Application>Microsoft Office Word</Application>
  <DocSecurity>0</DocSecurity>
  <Lines>25</Lines>
  <Paragraphs>6</Paragraphs>
  <ScaleCrop>false</ScaleCrop>
  <Company/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Bates</dc:creator>
  <cp:keywords/>
  <dc:description/>
  <cp:lastModifiedBy>Brian Bates</cp:lastModifiedBy>
  <cp:revision>2</cp:revision>
  <dcterms:created xsi:type="dcterms:W3CDTF">2026-06-27T21:23:00Z</dcterms:created>
  <dcterms:modified xsi:type="dcterms:W3CDTF">2026-06-27T21:23:00Z</dcterms:modified>
</cp:coreProperties>
</file>