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C3FF" w14:textId="601BC1D9" w:rsidR="0083329A" w:rsidRDefault="00A43D47">
      <w:r>
        <w:rPr>
          <w:i/>
          <w:iCs/>
        </w:rPr>
        <w:t>Strategic Decisions</w:t>
      </w:r>
    </w:p>
    <w:p w14:paraId="2C4FBF74" w14:textId="76934B29" w:rsidR="00A43D47" w:rsidRPr="00A43D47" w:rsidRDefault="00A43D47">
      <w:r>
        <w:t xml:space="preserve">“[S]trategic decisions do not constitute ineffective assistance of counsel if alternative courses have been considered and rejected and counsel’s decision was reasonable under the norms of professional conduct.” </w:t>
      </w:r>
      <w:r>
        <w:rPr>
          <w:i/>
          <w:iCs/>
        </w:rPr>
        <w:t>Occhicone v. State</w:t>
      </w:r>
      <w:r>
        <w:t xml:space="preserve">, 768 So. 2d 1037, 1048 (Fla. 2000). “[C]ounsel has a duty to make reasonable investigations or to make a reasonable decision that makes particular investigations unnecessary.” </w:t>
      </w:r>
      <w:r>
        <w:rPr>
          <w:i/>
          <w:iCs/>
        </w:rPr>
        <w:t>Hurst v. State</w:t>
      </w:r>
      <w:r>
        <w:t xml:space="preserve">, 18 SO. 3d 975, 1008 (Fla. 2009). Strategic decisions are reasonable only to the extent they are supported by sufficient investigation and reasonable professional judgment. </w:t>
      </w:r>
      <w:r>
        <w:rPr>
          <w:i/>
          <w:iCs/>
        </w:rPr>
        <w:t>Wiggins v. Smith</w:t>
      </w:r>
      <w:r>
        <w:t xml:space="preserve">, 539 U.S. 510, 521 (2003). In assessing whether a strategic decision was reasonable, a court must consider the evidence already known to counsel and whether that evidence would lead a reasonable attorney to investigate further. </w:t>
      </w:r>
      <w:r>
        <w:rPr>
          <w:i/>
          <w:iCs/>
        </w:rPr>
        <w:t>Hayward v. State</w:t>
      </w:r>
      <w:r>
        <w:t xml:space="preserve">, 183 So. 3d 286, 307 (Fla. 2015). A defendant who gives counsel reason to believe a particular investigation would be fruitless or harmful cannot later challenge counsel’s decision not to pursue that investigation. </w:t>
      </w:r>
      <w:r>
        <w:rPr>
          <w:i/>
          <w:iCs/>
        </w:rPr>
        <w:t>Strickland</w:t>
      </w:r>
      <w:r>
        <w:t xml:space="preserve">, 466 U.S. at 691. An evidentiary hearing is generally required to determine whether action or inaction was a strategic decision. </w:t>
      </w:r>
      <w:r>
        <w:rPr>
          <w:i/>
          <w:iCs/>
        </w:rPr>
        <w:t>Patrick v. State</w:t>
      </w:r>
      <w:r>
        <w:t>, 246 SO. 3d 253, 264 (Fla. 2018).</w:t>
      </w:r>
    </w:p>
    <w:sectPr w:rsidR="00A43D47" w:rsidRPr="00A4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47"/>
    <w:rsid w:val="00332D23"/>
    <w:rsid w:val="0037280B"/>
    <w:rsid w:val="003D0791"/>
    <w:rsid w:val="006520E6"/>
    <w:rsid w:val="0083329A"/>
    <w:rsid w:val="00A43D47"/>
    <w:rsid w:val="00B25240"/>
    <w:rsid w:val="00C6491D"/>
    <w:rsid w:val="00F3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2B7F4"/>
  <w15:chartTrackingRefBased/>
  <w15:docId w15:val="{B6992A74-FF43-0D4A-8CDA-E0B22514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4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1091</Characters>
  <Application>Microsoft Office Word</Application>
  <DocSecurity>0</DocSecurity>
  <Lines>15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2026-06-27T21:24:00Z</dcterms:created>
  <dcterms:modified xsi:type="dcterms:W3CDTF">2026-06-27T21:24:00Z</dcterms:modified>
</cp:coreProperties>
</file>