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54012" w14:textId="62784755" w:rsidR="005B7F10" w:rsidRPr="005B7F10" w:rsidRDefault="005B7F10">
      <w:pPr>
        <w:rPr>
          <w:rStyle w:val="normaltextrun"/>
          <w:color w:val="000000"/>
          <w:shd w:val="clear" w:color="auto" w:fill="FFFFFF"/>
        </w:rPr>
      </w:pPr>
      <w:r>
        <w:rPr>
          <w:rStyle w:val="normaltextrun"/>
          <w:i/>
          <w:iCs/>
          <w:color w:val="000000"/>
          <w:shd w:val="clear" w:color="auto" w:fill="FFFFFF"/>
        </w:rPr>
        <w:t>Strickland General</w:t>
      </w:r>
      <w:r w:rsidR="001E1787">
        <w:rPr>
          <w:rStyle w:val="normaltextrun"/>
          <w:i/>
          <w:iCs/>
          <w:color w:val="000000"/>
          <w:shd w:val="clear" w:color="auto" w:fill="FFFFFF"/>
        </w:rPr>
        <w:t>ly</w:t>
      </w:r>
    </w:p>
    <w:p w14:paraId="6EB3F6FC" w14:textId="31457E85" w:rsidR="0083329A" w:rsidRDefault="005B7F10">
      <w:r>
        <w:rPr>
          <w:rStyle w:val="normaltextrun"/>
          <w:color w:val="000000"/>
          <w:shd w:val="clear" w:color="auto" w:fill="FFFFFF"/>
        </w:rPr>
        <w:t>A claim of ineffective assistance of counsel must show deficient performance and prejudice under the standard set forth in </w:t>
      </w:r>
      <w:r>
        <w:rPr>
          <w:rStyle w:val="normaltextrun"/>
          <w:i/>
          <w:iCs/>
          <w:color w:val="000000"/>
          <w:shd w:val="clear" w:color="auto" w:fill="FFFFFF"/>
        </w:rPr>
        <w:t>Strickland v. Washington</w:t>
      </w:r>
      <w:r>
        <w:rPr>
          <w:rStyle w:val="normaltextrun"/>
          <w:color w:val="000000"/>
          <w:shd w:val="clear" w:color="auto" w:fill="FFFFFF"/>
        </w:rPr>
        <w:t>, 466 U.S. 668 (1984).</w:t>
      </w:r>
      <w:r w:rsidR="008F2CA7">
        <w:rPr>
          <w:rStyle w:val="normaltextrun"/>
          <w:color w:val="000000"/>
          <w:shd w:val="clear" w:color="auto" w:fill="FFFFFF"/>
        </w:rPr>
        <w:t xml:space="preserve"> </w:t>
      </w:r>
      <w:r>
        <w:rPr>
          <w:rStyle w:val="normaltextrun"/>
          <w:color w:val="000000"/>
          <w:shd w:val="clear" w:color="auto" w:fill="FFFFFF"/>
        </w:rPr>
        <w:t>The deficient performance prong requires that a defendant identify specific acts or omissions by counsel that fall outside the broad range of competent performance under prevailing professional standards. </w:t>
      </w:r>
      <w:r>
        <w:rPr>
          <w:rStyle w:val="normaltextrun"/>
          <w:i/>
          <w:iCs/>
          <w:color w:val="000000"/>
          <w:shd w:val="clear" w:color="auto" w:fill="FFFFFF"/>
        </w:rPr>
        <w:t>Parks v. State</w:t>
      </w:r>
      <w:r>
        <w:rPr>
          <w:rStyle w:val="normaltextrun"/>
          <w:color w:val="000000"/>
          <w:shd w:val="clear" w:color="auto" w:fill="FFFFFF"/>
        </w:rPr>
        <w:t>, 387 So.3d 430, 432 (Fla. 2d DCA 2024); </w:t>
      </w:r>
      <w:r>
        <w:rPr>
          <w:rStyle w:val="normaltextrun"/>
          <w:i/>
          <w:iCs/>
          <w:color w:val="000000"/>
          <w:shd w:val="clear" w:color="auto" w:fill="FFFFFF"/>
        </w:rPr>
        <w:t>Bolduc v. State</w:t>
      </w:r>
      <w:r>
        <w:rPr>
          <w:rStyle w:val="normaltextrun"/>
          <w:color w:val="000000"/>
          <w:shd w:val="clear" w:color="auto" w:fill="FFFFFF"/>
        </w:rPr>
        <w:t>, 279 So. 3d 768, 770 (Fla. 2d DCA 2019).</w:t>
      </w:r>
      <w:r w:rsidR="008F2CA7">
        <w:rPr>
          <w:rStyle w:val="normaltextrun"/>
          <w:color w:val="000000"/>
          <w:shd w:val="clear" w:color="auto" w:fill="FFFFFF"/>
        </w:rPr>
        <w:t xml:space="preserve"> </w:t>
      </w:r>
      <w:r>
        <w:rPr>
          <w:rStyle w:val="normaltextrun"/>
          <w:color w:val="000000"/>
          <w:shd w:val="clear" w:color="auto" w:fill="FFFFFF"/>
        </w:rPr>
        <w:t>Deficient performance is considered under the totality of the circumstances existing at the time, without the distorting effects of hindsight.</w:t>
      </w:r>
      <w:r w:rsidR="008F2CA7">
        <w:rPr>
          <w:rStyle w:val="normaltextrun"/>
          <w:color w:val="000000"/>
          <w:shd w:val="clear" w:color="auto" w:fill="FFFFFF"/>
        </w:rPr>
        <w:t xml:space="preserve"> </w:t>
      </w:r>
      <w:r>
        <w:rPr>
          <w:rStyle w:val="normaltextrun"/>
          <w:i/>
          <w:iCs/>
          <w:color w:val="000000"/>
          <w:shd w:val="clear" w:color="auto" w:fill="FFFFFF"/>
        </w:rPr>
        <w:t>Preston v. State</w:t>
      </w:r>
      <w:r>
        <w:rPr>
          <w:rStyle w:val="normaltextrun"/>
          <w:color w:val="000000"/>
          <w:shd w:val="clear" w:color="auto" w:fill="FFFFFF"/>
        </w:rPr>
        <w:t>, 970 So. 2d 789, 803 (Fla. 2007).</w:t>
      </w:r>
      <w:r w:rsidR="008F2CA7">
        <w:rPr>
          <w:rStyle w:val="normaltextrun"/>
          <w:color w:val="000000"/>
          <w:shd w:val="clear" w:color="auto" w:fill="FFFFFF"/>
        </w:rPr>
        <w:t xml:space="preserve"> </w:t>
      </w:r>
      <w:r>
        <w:rPr>
          <w:rStyle w:val="normaltextrun"/>
          <w:color w:val="000000"/>
          <w:shd w:val="clear" w:color="auto" w:fill="FFFFFF"/>
        </w:rPr>
        <w:t>The prejudice prong requires that a defendant demonstrate a reasonable probability that, but for counsel’s errors, the outcome of the proceedings would have been different. </w:t>
      </w:r>
      <w:r>
        <w:rPr>
          <w:rStyle w:val="normaltextrun"/>
          <w:i/>
          <w:iCs/>
          <w:color w:val="000000"/>
          <w:shd w:val="clear" w:color="auto" w:fill="FFFFFF"/>
        </w:rPr>
        <w:t>Parks</w:t>
      </w:r>
      <w:r>
        <w:rPr>
          <w:rStyle w:val="normaltextrun"/>
          <w:color w:val="000000"/>
          <w:shd w:val="clear" w:color="auto" w:fill="FFFFFF"/>
        </w:rPr>
        <w:t>, 387 So. 3d at 432; </w:t>
      </w:r>
      <w:r>
        <w:rPr>
          <w:rStyle w:val="normaltextrun"/>
          <w:i/>
          <w:iCs/>
          <w:color w:val="000000"/>
          <w:shd w:val="clear" w:color="auto" w:fill="FFFFFF"/>
        </w:rPr>
        <w:t>Bolduc</w:t>
      </w:r>
      <w:r>
        <w:rPr>
          <w:rStyle w:val="normaltextrun"/>
          <w:color w:val="000000"/>
          <w:shd w:val="clear" w:color="auto" w:fill="FFFFFF"/>
        </w:rPr>
        <w:t>, 279 So. 3d at 770.</w:t>
      </w:r>
      <w:r w:rsidR="008F2CA7">
        <w:rPr>
          <w:rStyle w:val="normaltextrun"/>
          <w:color w:val="000000"/>
          <w:shd w:val="clear" w:color="auto" w:fill="FFFFFF"/>
        </w:rPr>
        <w:t xml:space="preserve"> </w:t>
      </w:r>
      <w:r>
        <w:rPr>
          <w:rStyle w:val="normaltextrun"/>
          <w:color w:val="000000"/>
          <w:shd w:val="clear" w:color="auto" w:fill="FFFFFF"/>
        </w:rPr>
        <w:t>A reasonable probability means a probability sufficient to undermine confidence in the outcome. </w:t>
      </w:r>
      <w:r>
        <w:rPr>
          <w:rStyle w:val="normaltextrun"/>
          <w:i/>
          <w:iCs/>
          <w:color w:val="000000"/>
          <w:shd w:val="clear" w:color="auto" w:fill="FFFFFF"/>
        </w:rPr>
        <w:t>Simmons v. State</w:t>
      </w:r>
      <w:r>
        <w:rPr>
          <w:rStyle w:val="normaltextrun"/>
          <w:color w:val="000000"/>
          <w:shd w:val="clear" w:color="auto" w:fill="FFFFFF"/>
        </w:rPr>
        <w:t>, 105 So. 3d 475, 488 (Fla. 2012).</w:t>
      </w:r>
      <w:r w:rsidR="008F2CA7">
        <w:rPr>
          <w:rStyle w:val="normaltextrun"/>
          <w:color w:val="000000"/>
          <w:shd w:val="clear" w:color="auto" w:fill="FFFFFF"/>
        </w:rPr>
        <w:t xml:space="preserve"> </w:t>
      </w:r>
      <w:r>
        <w:rPr>
          <w:rStyle w:val="normaltextrun"/>
          <w:color w:val="000000"/>
          <w:shd w:val="clear" w:color="auto" w:fill="FFFFFF"/>
        </w:rPr>
        <w:t>The relevant prejudice under </w:t>
      </w:r>
      <w:r>
        <w:rPr>
          <w:rStyle w:val="normaltextrun"/>
          <w:i/>
          <w:iCs/>
          <w:color w:val="000000"/>
          <w:shd w:val="clear" w:color="auto" w:fill="FFFFFF"/>
        </w:rPr>
        <w:t>Strickland</w:t>
      </w:r>
      <w:r>
        <w:rPr>
          <w:rStyle w:val="normaltextrun"/>
          <w:color w:val="000000"/>
          <w:shd w:val="clear" w:color="auto" w:fill="FFFFFF"/>
        </w:rPr>
        <w:t> is the effect of counsel’s performance on the outcome of the trial proceedings, not the defendant’s appellate rights. </w:t>
      </w:r>
      <w:r>
        <w:rPr>
          <w:rStyle w:val="normaltextrun"/>
          <w:i/>
          <w:iCs/>
          <w:color w:val="000000"/>
          <w:shd w:val="clear" w:color="auto" w:fill="FFFFFF"/>
        </w:rPr>
        <w:t>State v. Bouchard</w:t>
      </w:r>
      <w:r>
        <w:rPr>
          <w:rStyle w:val="normaltextrun"/>
          <w:color w:val="000000"/>
          <w:shd w:val="clear" w:color="auto" w:fill="FFFFFF"/>
        </w:rPr>
        <w:t>, 922 So. 2d 424, 430 (Fla. 2d DCA 2006); </w:t>
      </w:r>
      <w:r>
        <w:rPr>
          <w:rStyle w:val="normaltextrun"/>
          <w:i/>
          <w:iCs/>
          <w:color w:val="000000"/>
          <w:shd w:val="clear" w:color="auto" w:fill="FFFFFF"/>
        </w:rPr>
        <w:t>see also Ruiz v. State</w:t>
      </w:r>
      <w:r>
        <w:rPr>
          <w:rStyle w:val="normaltextrun"/>
          <w:color w:val="000000"/>
          <w:shd w:val="clear" w:color="auto" w:fill="FFFFFF"/>
        </w:rPr>
        <w:t>, 108 So. 3d 694, 696 (Fla. 2d DCA 2013).</w:t>
      </w:r>
      <w:r w:rsidR="008F2CA7">
        <w:rPr>
          <w:rStyle w:val="normaltextrun"/>
          <w:color w:val="000000"/>
          <w:shd w:val="clear" w:color="auto" w:fill="FFFFFF"/>
        </w:rPr>
        <w:t xml:space="preserve"> </w:t>
      </w:r>
      <w:r>
        <w:rPr>
          <w:rStyle w:val="normaltextrun"/>
          <w:color w:val="000000"/>
          <w:shd w:val="clear" w:color="auto" w:fill="FFFFFF"/>
        </w:rPr>
        <w:t>Because </w:t>
      </w:r>
      <w:r>
        <w:rPr>
          <w:rStyle w:val="normaltextrun"/>
          <w:i/>
          <w:iCs/>
          <w:color w:val="000000"/>
          <w:shd w:val="clear" w:color="auto" w:fill="FFFFFF"/>
        </w:rPr>
        <w:t>Strickland</w:t>
      </w:r>
      <w:r>
        <w:rPr>
          <w:rStyle w:val="normaltextrun"/>
          <w:color w:val="000000"/>
          <w:shd w:val="clear" w:color="auto" w:fill="FFFFFF"/>
        </w:rPr>
        <w:t> requires both deficient performance and prejudice, a trial court need not address both prongs if one prong is lacking.</w:t>
      </w:r>
      <w:r w:rsidR="008F2CA7">
        <w:rPr>
          <w:rStyle w:val="normaltextrun"/>
          <w:color w:val="000000"/>
          <w:shd w:val="clear" w:color="auto" w:fill="FFFFFF"/>
        </w:rPr>
        <w:t xml:space="preserve"> </w:t>
      </w:r>
      <w:r>
        <w:rPr>
          <w:rStyle w:val="normaltextrun"/>
          <w:i/>
          <w:iCs/>
          <w:color w:val="000000"/>
          <w:shd w:val="clear" w:color="auto" w:fill="FFFFFF"/>
        </w:rPr>
        <w:t>Allen v. State</w:t>
      </w:r>
      <w:r>
        <w:rPr>
          <w:rStyle w:val="normaltextrun"/>
          <w:color w:val="000000"/>
          <w:shd w:val="clear" w:color="auto" w:fill="FFFFFF"/>
        </w:rPr>
        <w:t>, 261 So. 3d 1255, 1259 (Fla. 2019).</w:t>
      </w:r>
    </w:p>
    <w:sectPr w:rsidR="008332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F10"/>
    <w:rsid w:val="001D031B"/>
    <w:rsid w:val="001E1787"/>
    <w:rsid w:val="00332D23"/>
    <w:rsid w:val="0037280B"/>
    <w:rsid w:val="003D0791"/>
    <w:rsid w:val="005B7F10"/>
    <w:rsid w:val="006520E6"/>
    <w:rsid w:val="0083329A"/>
    <w:rsid w:val="008F2CA7"/>
    <w:rsid w:val="00B25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21A272"/>
  <w15:chartTrackingRefBased/>
  <w15:docId w15:val="{57373ACE-0913-964C-B3F4-B5D863A1F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0E6"/>
    <w:pPr>
      <w:spacing w:after="0" w:line="480" w:lineRule="auto"/>
      <w:ind w:firstLine="7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5B7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F1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F1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F1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F1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F1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F1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F1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F1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F1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F1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F1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F1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F1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F1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F10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F1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F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F10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5B7F10"/>
  </w:style>
  <w:style w:type="character" w:customStyle="1" w:styleId="eop">
    <w:name w:val="eop"/>
    <w:basedOn w:val="DefaultParagraphFont"/>
    <w:rsid w:val="005B7F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249</Words>
  <Characters>1296</Characters>
  <Application>Microsoft Office Word</Application>
  <DocSecurity>0</DocSecurity>
  <Lines>18</Lines>
  <Paragraphs>2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Bates</dc:creator>
  <cp:keywords/>
  <dc:description/>
  <cp:lastModifiedBy>Brian Bates</cp:lastModifiedBy>
  <cp:revision>2</cp:revision>
  <dcterms:created xsi:type="dcterms:W3CDTF">2026-06-27T21:25:00Z</dcterms:created>
  <dcterms:modified xsi:type="dcterms:W3CDTF">2026-06-27T21:25:00Z</dcterms:modified>
</cp:coreProperties>
</file>