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FB72" w14:textId="4A00C87E" w:rsidR="0083329A" w:rsidRDefault="00E428B2">
      <w:pPr>
        <w:rPr>
          <w:i/>
          <w:iCs/>
        </w:rPr>
      </w:pPr>
      <w:r>
        <w:rPr>
          <w:i/>
          <w:iCs/>
        </w:rPr>
        <w:t>Giglio Claims</w:t>
      </w:r>
    </w:p>
    <w:p w14:paraId="12DA6264" w14:textId="42139AB8" w:rsidR="00E428B2" w:rsidRPr="00E428B2" w:rsidRDefault="00E428B2">
      <w:r>
        <w:t xml:space="preserve">Claims under </w:t>
      </w:r>
      <w:r>
        <w:rPr>
          <w:i/>
          <w:iCs/>
        </w:rPr>
        <w:t>Giglio v. United States</w:t>
      </w:r>
      <w:r>
        <w:t xml:space="preserve">, 405 U.S. 150 (1972), are cognizable in a motion under Rule 3.850. </w:t>
      </w:r>
      <w:r>
        <w:rPr>
          <w:i/>
          <w:iCs/>
        </w:rPr>
        <w:t>Guzman v. State</w:t>
      </w:r>
      <w:r>
        <w:t xml:space="preserve">, 868 So. 2d 498 (Fla. 2003). The claim must allege and demonstrate that: (1) a State witness gave testimony that was false; (2) the prosecutor knew the testimony was false; and (3) the statement was material. </w:t>
      </w:r>
      <w:r>
        <w:rPr>
          <w:i/>
          <w:iCs/>
        </w:rPr>
        <w:t>Id</w:t>
      </w:r>
      <w:r>
        <w:t xml:space="preserve">.; </w:t>
      </w:r>
      <w:r>
        <w:rPr>
          <w:i/>
          <w:iCs/>
        </w:rPr>
        <w:t>Rodriguez v. State</w:t>
      </w:r>
      <w:r>
        <w:t xml:space="preserve">, 39 So. 3d 275, 285 (Fla. 2010). Prior inconsistent statements of a witness or conflicting statements between different witnesses </w:t>
      </w:r>
      <w:r w:rsidR="00AB1E2B">
        <w:t>are insufficient fail to establish a violation</w:t>
      </w:r>
      <w:r>
        <w:t xml:space="preserve">. </w:t>
      </w:r>
      <w:r>
        <w:rPr>
          <w:i/>
          <w:iCs/>
        </w:rPr>
        <w:t>Hernandez v. State</w:t>
      </w:r>
      <w:r>
        <w:t xml:space="preserve">, 180 So. 3d 978, 994 (Fla. 2015). </w:t>
      </w:r>
      <w:r w:rsidR="00AB1E2B">
        <w:t xml:space="preserve">The prosecutor must have known that the testimony was false when it was given or learned of the falsity later and failed to correct it. </w:t>
      </w:r>
      <w:r w:rsidR="00AB1E2B">
        <w:rPr>
          <w:i/>
          <w:iCs/>
        </w:rPr>
        <w:t>Guzman</w:t>
      </w:r>
      <w:r w:rsidR="00AB1E2B">
        <w:t xml:space="preserve">, 868 So. 2d at 506. Once a defendant establishes a defendant establishes the prosecutor knowingly presented false testimony, the State bears the burden of proving that the testimony was harmless beyond a reasonable doubt. </w:t>
      </w:r>
      <w:r w:rsidR="00AB1E2B">
        <w:rPr>
          <w:i/>
          <w:iCs/>
        </w:rPr>
        <w:t>Id</w:t>
      </w:r>
      <w:r w:rsidR="00AB1E2B">
        <w:t xml:space="preserve">. </w:t>
      </w:r>
      <w:r>
        <w:t xml:space="preserve">False testimony is material “if there is any reasonable possibility that it could have affected the jury’s verdict.” </w:t>
      </w:r>
      <w:r>
        <w:rPr>
          <w:i/>
          <w:iCs/>
        </w:rPr>
        <w:t>Davis v. State</w:t>
      </w:r>
      <w:r>
        <w:t>, 26 So. 3d 519, 531 (Fla. 2009).</w:t>
      </w:r>
    </w:p>
    <w:sectPr w:rsidR="00E428B2" w:rsidRPr="00E4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B2"/>
    <w:rsid w:val="00332D23"/>
    <w:rsid w:val="0037280B"/>
    <w:rsid w:val="003D0791"/>
    <w:rsid w:val="006520E6"/>
    <w:rsid w:val="0083329A"/>
    <w:rsid w:val="00AB1E2B"/>
    <w:rsid w:val="00B25240"/>
    <w:rsid w:val="00DC1FB1"/>
    <w:rsid w:val="00E4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80C33"/>
  <w15:chartTrackingRefBased/>
  <w15:docId w15:val="{33497055-3E61-1841-B214-CF127AE0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B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189</Words>
  <Characters>943</Characters>
  <Application>Microsoft Office Word</Application>
  <DocSecurity>0</DocSecurity>
  <Lines>13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3</cp:revision>
  <dcterms:created xsi:type="dcterms:W3CDTF">2026-06-27T21:29:00Z</dcterms:created>
  <dcterms:modified xsi:type="dcterms:W3CDTF">2026-06-28T02:19:00Z</dcterms:modified>
</cp:coreProperties>
</file>